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6997700" cy="8817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17610"/>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40"/>
            <w:col w:w="8420"/>
          </w:cols>
          <w:pgMar w:left="460" w:top="214" w:right="35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TIF Partners, LLC</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line="360" w:lineRule="auto"/>
        <w:rPr>
          <w:sz w:val="20"/>
          <w:szCs w:val="20"/>
          <w:color w:val="auto"/>
        </w:rPr>
      </w:pPr>
      <w:r>
        <w:rPr>
          <w:rFonts w:ascii="Times New Roman" w:cs="Times New Roman" w:eastAsia="Times New Roman" w:hAnsi="Times New Roman"/>
          <w:sz w:val="16"/>
          <w:szCs w:val="16"/>
          <w:color w:val="0000FF"/>
        </w:rPr>
        <w:t>C/O CAPRICORN INVESTMENT GROUP, LLC 512 WEST 22ND STREET, 6TH FLOOR</w:t>
      </w: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980" w:type="dxa"/>
            <w:vAlign w:val="bottom"/>
          </w:tcPr>
          <w:p>
            <w:pPr>
              <w:spacing w:after="0"/>
              <w:rPr>
                <w:sz w:val="20"/>
                <w:szCs w:val="20"/>
                <w:color w:val="auto"/>
              </w:rPr>
            </w:pPr>
            <w:r>
              <w:rPr>
                <w:rFonts w:ascii="Arial" w:cs="Arial" w:eastAsia="Arial" w:hAnsi="Arial"/>
                <w:sz w:val="12"/>
                <w:szCs w:val="12"/>
                <w:color w:val="auto"/>
              </w:rPr>
              <w:t>(Street)</w:t>
            </w:r>
          </w:p>
        </w:tc>
        <w:tc>
          <w:tcPr>
            <w:tcW w:w="900" w:type="dxa"/>
            <w:vAlign w:val="bottom"/>
          </w:tcPr>
          <w:p>
            <w:pPr>
              <w:spacing w:after="0"/>
              <w:rPr>
                <w:sz w:val="14"/>
                <w:szCs w:val="14"/>
                <w:color w:val="auto"/>
              </w:rPr>
            </w:pPr>
          </w:p>
        </w:tc>
      </w:tr>
      <w:tr>
        <w:trPr>
          <w:trHeight w:val="220"/>
        </w:trPr>
        <w:tc>
          <w:tcPr>
            <w:tcW w:w="19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NEW YORKNY</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10011</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760" w:type="dxa"/>
            <w:vAlign w:val="bottom"/>
            <w:gridSpan w:val="3"/>
          </w:tcPr>
          <w:p>
            <w:pPr>
              <w:spacing w:after="0" w:line="21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Fervo Energy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FRVO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2380" w:type="dxa"/>
            <w:vAlign w:val="bottom"/>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80" w:type="dxa"/>
            <w:vAlign w:val="bottom"/>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380" w:type="dxa"/>
            <w:vAlign w:val="bottom"/>
            <w:tcBorders>
              <w:bottom w:val="single" w:sz="8" w:color="2C2C2C"/>
            </w:tcBorders>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05/14/2026</w:t>
            </w:r>
          </w:p>
        </w:tc>
        <w:tc>
          <w:tcPr>
            <w:tcW w:w="2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400" w:space="440"/>
            <w:col w:w="7240"/>
          </w:cols>
          <w:pgMar w:left="460" w:top="214" w:right="359" w:bottom="0" w:gutter="0" w:footer="0" w:header="0"/>
          <w:type w:val="continuous"/>
        </w:sectPr>
      </w:pPr>
    </w:p>
    <w:p>
      <w:pPr>
        <w:spacing w:after="0" w:line="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3"/>
          </w:tcPr>
          <w:p>
            <w:pPr>
              <w:ind w:left="420"/>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5"/>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3"/>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80" w:type="dxa"/>
            <w:vAlign w:val="bottom"/>
            <w:gridSpan w:val="2"/>
          </w:tcPr>
          <w:p>
            <w:pPr>
              <w:jc w:val="center"/>
              <w:ind w:left="592"/>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3"/>
          </w:tcPr>
          <w:p>
            <w:pPr>
              <w:ind w:left="420"/>
              <w:spacing w:after="0" w:line="125" w:lineRule="exact"/>
              <w:rPr>
                <w:sz w:val="20"/>
                <w:szCs w:val="20"/>
                <w:color w:val="auto"/>
              </w:rPr>
            </w:pPr>
            <w:r>
              <w:rPr>
                <w:rFonts w:ascii="Arial" w:cs="Arial" w:eastAsia="Arial" w:hAnsi="Arial"/>
                <w:sz w:val="11"/>
                <w:szCs w:val="11"/>
                <w:b w:val="1"/>
                <w:bCs w:val="1"/>
                <w:color w:val="auto"/>
              </w:rPr>
              <w:t>(D) or Indirect</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0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vMerge w:val="restart"/>
          </w:tcPr>
          <w:p>
            <w:pPr>
              <w:spacing w:after="0"/>
              <w:rPr>
                <w:sz w:val="5"/>
                <w:szCs w:val="5"/>
                <w:color w:val="auto"/>
              </w:rPr>
            </w:pPr>
          </w:p>
        </w:tc>
        <w:tc>
          <w:tcPr>
            <w:tcW w:w="7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gridSpan w:val="5"/>
            <w:vMerge w:val="restart"/>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0"/>
                <w:szCs w:val="10"/>
                <w:color w:val="auto"/>
              </w:rPr>
            </w:pPr>
          </w:p>
        </w:tc>
        <w:tc>
          <w:tcPr>
            <w:tcW w:w="340" w:type="dxa"/>
            <w:vAlign w:val="bottom"/>
          </w:tcPr>
          <w:p>
            <w:pPr>
              <w:spacing w:after="0" w:line="125" w:lineRule="exact"/>
              <w:rPr>
                <w:sz w:val="20"/>
                <w:szCs w:val="20"/>
                <w:color w:val="auto"/>
              </w:rPr>
            </w:pPr>
            <w:r>
              <w:rPr>
                <w:rFonts w:ascii="Arial" w:cs="Arial" w:eastAsia="Arial" w:hAnsi="Arial"/>
                <w:sz w:val="11"/>
                <w:szCs w:val="11"/>
                <w:b w:val="1"/>
                <w:bCs w:val="1"/>
                <w:color w:val="auto"/>
              </w:rPr>
              <w:t>(A) or</w:t>
            </w:r>
          </w:p>
        </w:tc>
        <w:tc>
          <w:tcPr>
            <w:tcW w:w="6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5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5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612"/>
              <w:spacing w:after="0"/>
              <w:rPr>
                <w:sz w:val="20"/>
                <w:szCs w:val="20"/>
                <w:color w:val="auto"/>
              </w:rPr>
            </w:pPr>
            <w:r>
              <w:rPr>
                <w:rFonts w:ascii="Times New Roman" w:cs="Times New Roman" w:eastAsia="Times New Roman" w:hAnsi="Times New Roman"/>
                <w:sz w:val="16"/>
                <w:szCs w:val="16"/>
                <w:color w:val="0000FF"/>
              </w:rPr>
              <w:t>05/14/2026</w:t>
            </w:r>
          </w:p>
        </w:tc>
        <w:tc>
          <w:tcPr>
            <w:tcW w:w="1020" w:type="dxa"/>
            <w:vAlign w:val="bottom"/>
          </w:tcPr>
          <w:p>
            <w:pPr>
              <w:spacing w:after="0"/>
              <w:rPr>
                <w:sz w:val="17"/>
                <w:szCs w:val="17"/>
                <w:color w:val="auto"/>
              </w:rPr>
            </w:pPr>
          </w:p>
        </w:tc>
        <w:tc>
          <w:tcPr>
            <w:tcW w:w="740" w:type="dxa"/>
            <w:vAlign w:val="bottom"/>
            <w:vMerge w:val="restart"/>
          </w:tcPr>
          <w:p>
            <w:pPr>
              <w:jc w:val="right"/>
              <w:ind w:right="423"/>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12,055,467</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580" w:type="dxa"/>
            <w:vAlign w:val="bottom"/>
            <w:gridSpan w:val="4"/>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12,055,467</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Impact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10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By</w:t>
            </w:r>
          </w:p>
        </w:tc>
        <w:tc>
          <w:tcPr>
            <w:tcW w:w="6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Technology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vMerge w:val="restart"/>
          </w:tcPr>
          <w:p>
            <w:pPr>
              <w:jc w:val="center"/>
              <w:ind w:left="612"/>
              <w:spacing w:after="0"/>
              <w:rPr>
                <w:sz w:val="20"/>
                <w:szCs w:val="20"/>
                <w:color w:val="auto"/>
              </w:rPr>
            </w:pPr>
            <w:r>
              <w:rPr>
                <w:rFonts w:ascii="Times New Roman" w:cs="Times New Roman" w:eastAsia="Times New Roman" w:hAnsi="Times New Roman"/>
                <w:sz w:val="16"/>
                <w:szCs w:val="16"/>
                <w:color w:val="0000FF"/>
              </w:rPr>
              <w:t>05/14/2026</w:t>
            </w:r>
          </w:p>
        </w:tc>
        <w:tc>
          <w:tcPr>
            <w:tcW w:w="1020" w:type="dxa"/>
            <w:vAlign w:val="bottom"/>
          </w:tcPr>
          <w:p>
            <w:pPr>
              <w:spacing w:after="0"/>
              <w:rPr>
                <w:sz w:val="17"/>
                <w:szCs w:val="17"/>
                <w:color w:val="auto"/>
              </w:rPr>
            </w:pPr>
          </w:p>
        </w:tc>
        <w:tc>
          <w:tcPr>
            <w:tcW w:w="740" w:type="dxa"/>
            <w:vAlign w:val="bottom"/>
            <w:vMerge w:val="restart"/>
          </w:tcPr>
          <w:p>
            <w:pPr>
              <w:jc w:val="right"/>
              <w:ind w:right="423"/>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14,962,430</w:t>
            </w: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580" w:type="dxa"/>
            <w:vAlign w:val="bottom"/>
            <w:gridSpan w:val="4"/>
            <w:vMerge w:val="restart"/>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14,962,430</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Impact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3"/>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58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Growth</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Fund II,</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line="262" w:lineRule="exact"/>
              <w:rPr>
                <w:sz w:val="20"/>
                <w:szCs w:val="20"/>
                <w:color w:val="auto"/>
              </w:rPr>
            </w:pPr>
            <w:r>
              <w:rPr>
                <w:rFonts w:ascii="Times New Roman" w:cs="Times New Roman" w:eastAsia="Times New Roman" w:hAnsi="Times New Roman"/>
                <w:sz w:val="30"/>
                <w:szCs w:val="30"/>
                <w:color w:val="0000FF"/>
                <w:vertAlign w:val="subscript"/>
              </w:rPr>
              <w:t>LP</w:t>
            </w:r>
            <w:r>
              <w:rPr>
                <w:rFonts w:ascii="Times New Roman" w:cs="Times New Roman" w:eastAsia="Times New Roman" w:hAnsi="Times New Roman"/>
                <w:sz w:val="10"/>
                <w:szCs w:val="10"/>
                <w:color w:val="008000"/>
              </w:rPr>
              <w:t>(3)</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TIGF 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Direct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tcPr>
          <w:p>
            <w:pPr>
              <w:jc w:val="center"/>
              <w:ind w:left="612"/>
              <w:spacing w:after="0"/>
              <w:rPr>
                <w:sz w:val="20"/>
                <w:szCs w:val="20"/>
                <w:color w:val="auto"/>
              </w:rPr>
            </w:pPr>
            <w:r>
              <w:rPr>
                <w:rFonts w:ascii="Times New Roman" w:cs="Times New Roman" w:eastAsia="Times New Roman" w:hAnsi="Times New Roman"/>
                <w:sz w:val="16"/>
                <w:szCs w:val="16"/>
                <w:color w:val="0000FF"/>
              </w:rPr>
              <w:t>05/14/2026</w:t>
            </w:r>
          </w:p>
        </w:tc>
        <w:tc>
          <w:tcPr>
            <w:tcW w:w="1020" w:type="dxa"/>
            <w:vAlign w:val="bottom"/>
          </w:tcPr>
          <w:p>
            <w:pPr>
              <w:spacing w:after="0"/>
              <w:rPr>
                <w:sz w:val="17"/>
                <w:szCs w:val="17"/>
                <w:color w:val="auto"/>
              </w:rPr>
            </w:pPr>
          </w:p>
        </w:tc>
        <w:tc>
          <w:tcPr>
            <w:tcW w:w="740" w:type="dxa"/>
            <w:vAlign w:val="bottom"/>
          </w:tcPr>
          <w:p>
            <w:pPr>
              <w:jc w:val="right"/>
              <w:ind w:right="423"/>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5,448,761</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580" w:type="dxa"/>
            <w:vAlign w:val="bottom"/>
            <w:gridSpan w:val="4"/>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5,448,761</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Strategies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LLC -</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Series 5</w:t>
            </w:r>
            <w:r>
              <w:rPr>
                <w:rFonts w:ascii="Times New Roman" w:cs="Times New Roman" w:eastAsia="Times New Roman" w:hAnsi="Times New Roman"/>
                <w:sz w:val="20"/>
                <w:szCs w:val="20"/>
                <w:color w:val="008000"/>
                <w:vertAlign w:val="superscript"/>
              </w:rPr>
              <w:t>(4)</w:t>
            </w:r>
          </w:p>
        </w:tc>
        <w:tc>
          <w:tcPr>
            <w:tcW w:w="12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By TIGF II</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Direct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80" w:type="dxa"/>
            <w:vAlign w:val="bottom"/>
            <w:gridSpan w:val="2"/>
          </w:tcPr>
          <w:p>
            <w:pPr>
              <w:jc w:val="center"/>
              <w:ind w:left="612"/>
              <w:spacing w:after="0"/>
              <w:rPr>
                <w:sz w:val="20"/>
                <w:szCs w:val="20"/>
                <w:color w:val="auto"/>
              </w:rPr>
            </w:pPr>
            <w:r>
              <w:rPr>
                <w:rFonts w:ascii="Times New Roman" w:cs="Times New Roman" w:eastAsia="Times New Roman" w:hAnsi="Times New Roman"/>
                <w:sz w:val="16"/>
                <w:szCs w:val="16"/>
                <w:color w:val="0000FF"/>
              </w:rPr>
              <w:t>05/14/2026</w:t>
            </w:r>
          </w:p>
        </w:tc>
        <w:tc>
          <w:tcPr>
            <w:tcW w:w="1020" w:type="dxa"/>
            <w:vAlign w:val="bottom"/>
          </w:tcPr>
          <w:p>
            <w:pPr>
              <w:spacing w:after="0"/>
              <w:rPr>
                <w:sz w:val="17"/>
                <w:szCs w:val="17"/>
                <w:color w:val="auto"/>
              </w:rPr>
            </w:pPr>
          </w:p>
        </w:tc>
        <w:tc>
          <w:tcPr>
            <w:tcW w:w="740" w:type="dxa"/>
            <w:vAlign w:val="bottom"/>
          </w:tcPr>
          <w:p>
            <w:pPr>
              <w:jc w:val="right"/>
              <w:ind w:right="423"/>
              <w:spacing w:after="0"/>
              <w:rPr>
                <w:sz w:val="20"/>
                <w:szCs w:val="20"/>
                <w:color w:val="auto"/>
              </w:rPr>
            </w:pPr>
            <w:r>
              <w:rPr>
                <w:rFonts w:ascii="Times New Roman" w:cs="Times New Roman" w:eastAsia="Times New Roman" w:hAnsi="Times New Roman"/>
                <w:sz w:val="12"/>
                <w:szCs w:val="12"/>
                <w:color w:val="0000FF"/>
              </w:rPr>
              <w:t>C</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1,760,732</w:t>
            </w:r>
          </w:p>
        </w:tc>
        <w:tc>
          <w:tcPr>
            <w:tcW w:w="3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580" w:type="dxa"/>
            <w:vAlign w:val="bottom"/>
            <w:gridSpan w:val="4"/>
          </w:tcPr>
          <w:p>
            <w:pPr>
              <w:jc w:val="center"/>
              <w:ind w:right="364"/>
              <w:spacing w:after="0"/>
              <w:rPr>
                <w:sz w:val="20"/>
                <w:szCs w:val="20"/>
                <w:color w:val="auto"/>
              </w:rPr>
            </w:pPr>
            <w:r>
              <w:rPr>
                <w:rFonts w:ascii="Times New Roman" w:cs="Times New Roman" w:eastAsia="Times New Roman" w:hAnsi="Times New Roman"/>
                <w:sz w:val="16"/>
                <w:szCs w:val="16"/>
                <w:color w:val="0000FF"/>
                <w:w w:val="99"/>
              </w:rPr>
              <w:t>1,760,732</w:t>
            </w:r>
          </w:p>
        </w:tc>
        <w:tc>
          <w:tcPr>
            <w:tcW w:w="5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w:t>
            </w: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Strategies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LLC -</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Series 7</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09"/>
        </w:trPr>
        <w:tc>
          <w:tcPr>
            <w:tcW w:w="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00" w:type="dxa"/>
            <w:vAlign w:val="bottom"/>
            <w:tcBorders>
              <w:top w:val="single" w:sz="8" w:color="2C2C2C"/>
            </w:tcBorders>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8"/>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gridSpan w:val="2"/>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gridSpan w:val="2"/>
          </w:tcPr>
          <w:p>
            <w:pPr>
              <w:jc w:val="center"/>
              <w:ind w:righ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0"/>
                <w:szCs w:val="10"/>
                <w:color w:val="auto"/>
              </w:rPr>
            </w:pPr>
          </w:p>
        </w:tc>
        <w:tc>
          <w:tcPr>
            <w:tcW w:w="4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6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jc w:val="right"/>
              <w:ind w:right="423"/>
              <w:spacing w:after="0" w:line="125"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Date</w:t>
            </w:r>
          </w:p>
        </w:tc>
        <w:tc>
          <w:tcPr>
            <w:tcW w:w="30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7"/>
              </w:rPr>
              <w:t>Title</w:t>
            </w:r>
          </w:p>
        </w:tc>
        <w:tc>
          <w:tcPr>
            <w:tcW w:w="340" w:type="dxa"/>
            <w:vAlign w:val="bottom"/>
          </w:tcPr>
          <w:p>
            <w:pPr>
              <w:spacing w:after="0"/>
              <w:rPr>
                <w:sz w:val="6"/>
                <w:szCs w:val="6"/>
                <w:color w:val="auto"/>
              </w:rPr>
            </w:pPr>
          </w:p>
        </w:tc>
        <w:tc>
          <w:tcPr>
            <w:tcW w:w="6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continue"/>
          </w:tcPr>
          <w:p>
            <w:pPr>
              <w:spacing w:after="0"/>
              <w:rPr>
                <w:sz w:val="6"/>
                <w:szCs w:val="6"/>
                <w:color w:val="auto"/>
              </w:rPr>
            </w:pPr>
          </w:p>
        </w:tc>
        <w:tc>
          <w:tcPr>
            <w:tcW w:w="68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0000FF"/>
                <w:w w:val="99"/>
              </w:rPr>
              <w:t>6,368,028</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6,368,028</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0" w:type="dxa"/>
            <w:vAlign w:val="bottom"/>
          </w:tcPr>
          <w:p>
            <w:pPr>
              <w:spacing w:after="0"/>
              <w:rPr>
                <w:sz w:val="6"/>
                <w:szCs w:val="6"/>
                <w:color w:val="auto"/>
              </w:rPr>
            </w:pPr>
          </w:p>
        </w:tc>
        <w:tc>
          <w:tcPr>
            <w:tcW w:w="44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Impact</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Fund, LP</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C-1</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continue"/>
          </w:tcPr>
          <w:p>
            <w:pPr>
              <w:spacing w:after="0"/>
              <w:rPr>
                <w:sz w:val="6"/>
                <w:szCs w:val="6"/>
                <w:color w:val="auto"/>
              </w:rPr>
            </w:pPr>
          </w:p>
        </w:tc>
        <w:tc>
          <w:tcPr>
            <w:tcW w:w="68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0000FF"/>
                <w:w w:val="99"/>
              </w:rPr>
              <w:t>8,523,393</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Impact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8,523,393</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0" w:type="dxa"/>
            <w:vAlign w:val="bottom"/>
          </w:tcPr>
          <w:p>
            <w:pPr>
              <w:spacing w:after="0"/>
              <w:rPr>
                <w:sz w:val="6"/>
                <w:szCs w:val="6"/>
                <w:color w:val="auto"/>
              </w:rPr>
            </w:pPr>
          </w:p>
        </w:tc>
        <w:tc>
          <w:tcPr>
            <w:tcW w:w="44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gridSpan w:val="3"/>
          </w:tcPr>
          <w:p>
            <w:pPr>
              <w:ind w:left="4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C-3</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continue"/>
          </w:tcPr>
          <w:p>
            <w:pPr>
              <w:spacing w:after="0"/>
              <w:rPr>
                <w:sz w:val="6"/>
                <w:szCs w:val="6"/>
                <w:color w:val="auto"/>
              </w:rPr>
            </w:pPr>
          </w:p>
        </w:tc>
        <w:tc>
          <w:tcPr>
            <w:tcW w:w="68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0000FF"/>
                <w:w w:val="99"/>
              </w:rPr>
              <w:t>4,266,992</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4,266,992</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0" w:type="dxa"/>
            <w:vAlign w:val="bottom"/>
          </w:tcPr>
          <w:p>
            <w:pPr>
              <w:spacing w:after="0"/>
              <w:rPr>
                <w:sz w:val="6"/>
                <w:szCs w:val="6"/>
                <w:color w:val="auto"/>
              </w:rPr>
            </w:pPr>
          </w:p>
        </w:tc>
        <w:tc>
          <w:tcPr>
            <w:tcW w:w="44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Impact</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Fund, LP</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40" w:type="dxa"/>
            <w:vAlign w:val="bottom"/>
            <w:gridSpan w:val="2"/>
            <w:vMerge w:val="continue"/>
          </w:tcPr>
          <w:p>
            <w:pPr>
              <w:spacing w:after="0"/>
              <w:rPr>
                <w:sz w:val="6"/>
                <w:szCs w:val="6"/>
                <w:color w:val="auto"/>
              </w:rPr>
            </w:pPr>
          </w:p>
        </w:tc>
        <w:tc>
          <w:tcPr>
            <w:tcW w:w="680" w:type="dxa"/>
            <w:vAlign w:val="bottom"/>
            <w:vMerge w:val="restart"/>
          </w:tcPr>
          <w:p>
            <w:pPr>
              <w:ind w:left="20"/>
              <w:spacing w:after="0" w:line="175" w:lineRule="exact"/>
              <w:rPr>
                <w:sz w:val="20"/>
                <w:szCs w:val="20"/>
                <w:color w:val="auto"/>
              </w:rPr>
            </w:pPr>
            <w:r>
              <w:rPr>
                <w:rFonts w:ascii="Times New Roman" w:cs="Times New Roman" w:eastAsia="Times New Roman" w:hAnsi="Times New Roman"/>
                <w:sz w:val="16"/>
                <w:szCs w:val="16"/>
                <w:color w:val="0000FF"/>
                <w:w w:val="99"/>
              </w:rPr>
              <w:t>1,420,447</w:t>
            </w: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1060" w:type="dxa"/>
            <w:vAlign w:val="bottom"/>
          </w:tcPr>
          <w:p>
            <w:pPr>
              <w:spacing w:after="0"/>
              <w:rPr>
                <w:sz w:val="6"/>
                <w:szCs w:val="6"/>
                <w:color w:val="auto"/>
              </w:rPr>
            </w:pPr>
          </w:p>
        </w:tc>
        <w:tc>
          <w:tcPr>
            <w:tcW w:w="720" w:type="dxa"/>
            <w:vAlign w:val="bottom"/>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102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1,420,447</w:t>
            </w:r>
          </w:p>
        </w:tc>
        <w:tc>
          <w:tcPr>
            <w:tcW w:w="7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68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vMerge w:val="restart"/>
          </w:tcPr>
          <w:p>
            <w:pPr>
              <w:ind w:left="38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60" w:type="dxa"/>
            <w:vAlign w:val="bottom"/>
          </w:tcPr>
          <w:p>
            <w:pPr>
              <w:spacing w:after="0"/>
              <w:rPr>
                <w:sz w:val="6"/>
                <w:szCs w:val="6"/>
                <w:color w:val="auto"/>
              </w:rPr>
            </w:pPr>
          </w:p>
        </w:tc>
        <w:tc>
          <w:tcPr>
            <w:tcW w:w="44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280" w:type="dxa"/>
            <w:vAlign w:val="bottom"/>
          </w:tcPr>
          <w:p>
            <w:pPr>
              <w:spacing w:after="0"/>
              <w:rPr>
                <w:sz w:val="6"/>
                <w:szCs w:val="6"/>
                <w:color w:val="auto"/>
              </w:rPr>
            </w:pPr>
          </w:p>
        </w:tc>
        <w:tc>
          <w:tcPr>
            <w:tcW w:w="7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gridSpan w:val="4"/>
          </w:tcPr>
          <w:p>
            <w:pPr>
              <w:ind w:left="40"/>
              <w:spacing w:after="0"/>
              <w:rPr>
                <w:sz w:val="20"/>
                <w:szCs w:val="20"/>
                <w:color w:val="auto"/>
              </w:rPr>
            </w:pPr>
            <w:r>
              <w:rPr>
                <w:rFonts w:ascii="Times New Roman" w:cs="Times New Roman" w:eastAsia="Times New Roman" w:hAnsi="Times New Roman"/>
                <w:sz w:val="2"/>
                <w:szCs w:val="2"/>
                <w:color w:val="0000FF"/>
              </w:rPr>
              <w:t>Impact</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color w:val="0000FF"/>
              </w:rPr>
              <w:t>Fund, LP</w:t>
            </w:r>
            <w:r>
              <w:rPr>
                <w:rFonts w:ascii="Times New Roman" w:cs="Times New Roman" w:eastAsia="Times New Roman" w:hAnsi="Times New Roman"/>
                <w:sz w:val="20"/>
                <w:szCs w:val="20"/>
                <w:color w:val="008000"/>
                <w:vertAlign w:val="superscript"/>
              </w:rPr>
              <w:t>(2)</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-3240405</wp:posOffset>
            </wp:positionV>
            <wp:extent cx="28575" cy="3423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423285"/>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5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8500" cy="1052576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60" w:type="dxa"/>
            <w:vAlign w:val="bottom"/>
          </w:tcPr>
          <w:p>
            <w:pPr>
              <w:spacing w:after="0"/>
              <w:rPr>
                <w:sz w:val="10"/>
                <w:szCs w:val="10"/>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0"/>
                <w:szCs w:val="10"/>
                <w:color w:val="auto"/>
              </w:rPr>
            </w:pPr>
          </w:p>
        </w:tc>
        <w:tc>
          <w:tcPr>
            <w:tcW w:w="86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or Disposed of</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(D) (Instr. 3, 4</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line="125" w:lineRule="exact"/>
              <w:rPr>
                <w:sz w:val="20"/>
                <w:szCs w:val="20"/>
                <w:color w:val="auto"/>
              </w:rPr>
            </w:pPr>
            <w:r>
              <w:rPr>
                <w:rFonts w:ascii="Arial" w:cs="Arial" w:eastAsia="Arial" w:hAnsi="Arial"/>
                <w:sz w:val="11"/>
                <w:szCs w:val="11"/>
                <w:b w:val="1"/>
                <w:bCs w:val="1"/>
                <w:color w:val="auto"/>
              </w:rPr>
              <w:t>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D-1</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2,840,894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Impact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ind w:left="220"/>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60" w:type="dxa"/>
            <w:vAlign w:val="bottom"/>
            <w:vMerge w:val="restart"/>
          </w:tcPr>
          <w:p>
            <w:pPr>
              <w:jc w:val="center"/>
              <w:ind w:left="183"/>
              <w:spacing w:after="0" w:line="101" w:lineRule="exact"/>
              <w:rPr>
                <w:sz w:val="20"/>
                <w:szCs w:val="20"/>
                <w:color w:val="auto"/>
              </w:rPr>
            </w:pPr>
            <w:r>
              <w:rPr>
                <w:rFonts w:ascii="Times New Roman" w:cs="Times New Roman" w:eastAsia="Times New Roman" w:hAnsi="Times New Roman"/>
                <w:sz w:val="11"/>
                <w:szCs w:val="11"/>
                <w:color w:val="0000FF"/>
              </w:rPr>
              <w:t>2,840,894</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D-3</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rPr>
              <w:t>2,724,380</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Impact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ind w:left="220"/>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60" w:type="dxa"/>
            <w:vAlign w:val="bottom"/>
            <w:vMerge w:val="restart"/>
          </w:tcPr>
          <w:p>
            <w:pPr>
              <w:jc w:val="center"/>
              <w:ind w:left="183"/>
              <w:spacing w:after="0" w:line="101" w:lineRule="exact"/>
              <w:rPr>
                <w:sz w:val="20"/>
                <w:szCs w:val="20"/>
                <w:color w:val="auto"/>
              </w:rPr>
            </w:pPr>
            <w:r>
              <w:rPr>
                <w:rFonts w:ascii="Times New Roman" w:cs="Times New Roman" w:eastAsia="Times New Roman" w:hAnsi="Times New Roman"/>
                <w:sz w:val="11"/>
                <w:szCs w:val="11"/>
                <w:color w:val="0000FF"/>
              </w:rPr>
              <w:t>2,724,380</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TIGF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D-3</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5,448,761</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Direct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05/14/2026</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60" w:type="dxa"/>
            <w:vAlign w:val="bottom"/>
          </w:tcPr>
          <w:p>
            <w:pPr>
              <w:jc w:val="center"/>
              <w:ind w:left="183"/>
              <w:spacing w:after="0"/>
              <w:rPr>
                <w:sz w:val="20"/>
                <w:szCs w:val="20"/>
                <w:color w:val="auto"/>
              </w:rPr>
            </w:pPr>
            <w:r>
              <w:rPr>
                <w:rFonts w:ascii="Times New Roman" w:cs="Times New Roman" w:eastAsia="Times New Roman" w:hAnsi="Times New Roman"/>
                <w:sz w:val="12"/>
                <w:szCs w:val="12"/>
                <w:color w:val="0000FF"/>
              </w:rPr>
              <w:t>5,448,761</w:t>
            </w:r>
          </w:p>
        </w:tc>
        <w:tc>
          <w:tcPr>
            <w:tcW w:w="74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Strategies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LLC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60"/>
              <w:spacing w:after="0" w:line="225" w:lineRule="exact"/>
              <w:rPr>
                <w:sz w:val="20"/>
                <w:szCs w:val="20"/>
                <w:color w:val="auto"/>
              </w:rPr>
            </w:pPr>
            <w:r>
              <w:rPr>
                <w:rFonts w:ascii="Times New Roman" w:cs="Times New Roman" w:eastAsia="Times New Roman" w:hAnsi="Times New Roman"/>
                <w:sz w:val="12"/>
                <w:szCs w:val="12"/>
                <w:color w:val="0000FF"/>
              </w:rPr>
              <w:t>Series 5</w:t>
            </w:r>
            <w:r>
              <w:rPr>
                <w:rFonts w:ascii="Times New Roman" w:cs="Times New Roman" w:eastAsia="Times New Roman" w:hAnsi="Times New Roman"/>
                <w:sz w:val="20"/>
                <w:szCs w:val="20"/>
                <w:color w:val="008000"/>
                <w:vertAlign w:val="superscript"/>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E-1</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vMerge w:val="restart"/>
          </w:tcPr>
          <w:p>
            <w:pPr>
              <w:jc w:val="center"/>
              <w:spacing w:after="0" w:line="175" w:lineRule="exact"/>
              <w:rPr>
                <w:sz w:val="20"/>
                <w:szCs w:val="20"/>
                <w:color w:val="auto"/>
              </w:rPr>
            </w:pPr>
            <w:r>
              <w:rPr>
                <w:rFonts w:ascii="Times New Roman" w:cs="Times New Roman" w:eastAsia="Times New Roman" w:hAnsi="Times New Roman"/>
                <w:sz w:val="16"/>
                <w:szCs w:val="16"/>
                <w:color w:val="0000FF"/>
              </w:rPr>
              <w:t>873,763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Impact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1" w:lineRule="exact"/>
              <w:rPr>
                <w:sz w:val="20"/>
                <w:szCs w:val="20"/>
                <w:color w:val="auto"/>
              </w:rPr>
            </w:pPr>
            <w:r>
              <w:rPr>
                <w:rFonts w:ascii="Times New Roman" w:cs="Times New Roman" w:eastAsia="Times New Roman" w:hAnsi="Times New Roman"/>
                <w:sz w:val="11"/>
                <w:szCs w:val="11"/>
                <w:color w:val="0000FF"/>
              </w:rPr>
              <w:t>Preferred</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gridSpan w:val="2"/>
            <w:vMerge w:val="restart"/>
          </w:tcPr>
          <w:p>
            <w:pPr>
              <w:ind w:left="220"/>
              <w:spacing w:after="0" w:line="101" w:lineRule="exact"/>
              <w:rPr>
                <w:sz w:val="20"/>
                <w:szCs w:val="20"/>
                <w:color w:val="auto"/>
              </w:rPr>
            </w:pPr>
            <w:r>
              <w:rPr>
                <w:rFonts w:ascii="Times New Roman" w:cs="Times New Roman" w:eastAsia="Times New Roman" w:hAnsi="Times New Roman"/>
                <w:sz w:val="11"/>
                <w:szCs w:val="11"/>
                <w:color w:val="0000FF"/>
              </w:rPr>
              <w:t>05/14/2026</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vMerge w:val="restart"/>
          </w:tcPr>
          <w:p>
            <w:pPr>
              <w:ind w:left="160"/>
              <w:spacing w:after="0" w:line="101" w:lineRule="exact"/>
              <w:rPr>
                <w:sz w:val="20"/>
                <w:szCs w:val="20"/>
                <w:color w:val="auto"/>
              </w:rPr>
            </w:pPr>
            <w:r>
              <w:rPr>
                <w:rFonts w:ascii="Times New Roman" w:cs="Times New Roman" w:eastAsia="Times New Roman" w:hAnsi="Times New Roman"/>
                <w:sz w:val="11"/>
                <w:szCs w:val="11"/>
                <w:color w:val="0000FF"/>
              </w:rPr>
              <w:t>C</w:t>
            </w:r>
          </w:p>
        </w:tc>
        <w:tc>
          <w:tcPr>
            <w:tcW w:w="860" w:type="dxa"/>
            <w:vAlign w:val="bottom"/>
            <w:vMerge w:val="restart"/>
          </w:tcPr>
          <w:p>
            <w:pPr>
              <w:jc w:val="center"/>
              <w:ind w:left="163"/>
              <w:spacing w:after="0" w:line="101" w:lineRule="exact"/>
              <w:rPr>
                <w:sz w:val="20"/>
                <w:szCs w:val="20"/>
                <w:color w:val="auto"/>
              </w:rPr>
            </w:pPr>
            <w:r>
              <w:rPr>
                <w:rFonts w:ascii="Times New Roman" w:cs="Times New Roman" w:eastAsia="Times New Roman" w:hAnsi="Times New Roman"/>
                <w:sz w:val="11"/>
                <w:szCs w:val="11"/>
                <w:color w:val="0000FF"/>
              </w:rPr>
              <w:t>873,763</w:t>
            </w: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restart"/>
          </w:tcPr>
          <w:p>
            <w:pPr>
              <w:ind w:left="420"/>
              <w:spacing w:after="0" w:line="101" w:lineRule="exact"/>
              <w:rPr>
                <w:sz w:val="20"/>
                <w:szCs w:val="20"/>
                <w:color w:val="auto"/>
              </w:rPr>
            </w:pPr>
            <w:r>
              <w:rPr>
                <w:rFonts w:ascii="Times New Roman" w:cs="Times New Roman" w:eastAsia="Times New Roman" w:hAnsi="Times New Roman"/>
                <w:sz w:val="11"/>
                <w:szCs w:val="11"/>
                <w:color w:val="0000FF"/>
              </w:rPr>
              <w:t>0</w:t>
            </w:r>
          </w:p>
        </w:tc>
        <w:tc>
          <w:tcPr>
            <w:tcW w:w="700" w:type="dxa"/>
            <w:vAlign w:val="bottom"/>
            <w:vMerge w:val="restart"/>
          </w:tcPr>
          <w:p>
            <w:pPr>
              <w:ind w:left="320"/>
              <w:spacing w:after="0" w:line="101" w:lineRule="exact"/>
              <w:rPr>
                <w:sz w:val="20"/>
                <w:szCs w:val="20"/>
                <w:color w:val="auto"/>
              </w:rPr>
            </w:pPr>
            <w:r>
              <w:rPr>
                <w:rFonts w:ascii="Times New Roman" w:cs="Times New Roman" w:eastAsia="Times New Roman" w:hAnsi="Times New Roman"/>
                <w:sz w:val="11"/>
                <w:szCs w:val="11"/>
                <w:color w:val="0000FF"/>
              </w:rPr>
              <w:t>I</w:t>
            </w: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Fund II,</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ind w:left="60"/>
              <w:spacing w:after="0" w:line="229"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By TIGF II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E-1</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1,760,732</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Direct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2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1"/>
                <w:szCs w:val="1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0000FF"/>
              </w:rPr>
              <w:t>05/14/2026</w:t>
            </w: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860" w:type="dxa"/>
            <w:vAlign w:val="bottom"/>
          </w:tcPr>
          <w:p>
            <w:pPr>
              <w:jc w:val="center"/>
              <w:ind w:left="183"/>
              <w:spacing w:after="0"/>
              <w:rPr>
                <w:sz w:val="20"/>
                <w:szCs w:val="20"/>
                <w:color w:val="auto"/>
              </w:rPr>
            </w:pPr>
            <w:r>
              <w:rPr>
                <w:rFonts w:ascii="Times New Roman" w:cs="Times New Roman" w:eastAsia="Times New Roman" w:hAnsi="Times New Roman"/>
                <w:sz w:val="12"/>
                <w:szCs w:val="12"/>
                <w:color w:val="0000FF"/>
              </w:rPr>
              <w:t>1,760,732</w:t>
            </w:r>
          </w:p>
        </w:tc>
        <w:tc>
          <w:tcPr>
            <w:tcW w:w="740" w:type="dxa"/>
            <w:vAlign w:val="bottom"/>
          </w:tcPr>
          <w:p>
            <w:pPr>
              <w:jc w:val="right"/>
              <w:ind w:right="246"/>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vMerge w:val="continue"/>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00" w:type="dxa"/>
            <w:vAlign w:val="bottom"/>
          </w:tcPr>
          <w:p>
            <w:pPr>
              <w:ind w:left="420"/>
              <w:spacing w:after="0"/>
              <w:rPr>
                <w:sz w:val="20"/>
                <w:szCs w:val="20"/>
                <w:color w:val="auto"/>
              </w:rPr>
            </w:pPr>
            <w:r>
              <w:rPr>
                <w:rFonts w:ascii="Times New Roman" w:cs="Times New Roman" w:eastAsia="Times New Roman" w:hAnsi="Times New Roman"/>
                <w:sz w:val="12"/>
                <w:szCs w:val="12"/>
                <w:color w:val="0000FF"/>
              </w:rPr>
              <w:t>0</w:t>
            </w:r>
          </w:p>
        </w:tc>
        <w:tc>
          <w:tcPr>
            <w:tcW w:w="70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Strategies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LLC -</w:t>
            </w:r>
          </w:p>
        </w:tc>
        <w:tc>
          <w:tcPr>
            <w:tcW w:w="0" w:type="dxa"/>
            <w:vAlign w:val="bottom"/>
          </w:tcPr>
          <w:p>
            <w:pPr>
              <w:spacing w:after="0"/>
              <w:rPr>
                <w:sz w:val="1"/>
                <w:szCs w:val="1"/>
                <w:color w:val="auto"/>
              </w:rPr>
            </w:pPr>
          </w:p>
        </w:tc>
      </w:tr>
      <w:tr>
        <w:trPr>
          <w:trHeight w:val="270"/>
        </w:trPr>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5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6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gridSpan w:val="2"/>
          </w:tcPr>
          <w:p>
            <w:pPr>
              <w:ind w:left="60"/>
              <w:spacing w:after="0" w:line="225" w:lineRule="exact"/>
              <w:rPr>
                <w:sz w:val="20"/>
                <w:szCs w:val="20"/>
                <w:color w:val="auto"/>
              </w:rPr>
            </w:pPr>
            <w:r>
              <w:rPr>
                <w:rFonts w:ascii="Times New Roman" w:cs="Times New Roman" w:eastAsia="Times New Roman" w:hAnsi="Times New Roman"/>
                <w:sz w:val="12"/>
                <w:szCs w:val="12"/>
                <w:color w:val="0000FF"/>
              </w:rPr>
              <w:t>Series 7</w:t>
            </w:r>
            <w:r>
              <w:rPr>
                <w:rFonts w:ascii="Times New Roman" w:cs="Times New Roman" w:eastAsia="Times New Roman" w:hAnsi="Times New Roman"/>
                <w:sz w:val="20"/>
                <w:szCs w:val="20"/>
                <w:color w:val="008000"/>
                <w:vertAlign w:val="superscript"/>
              </w:rPr>
              <w:t>(5)</w:t>
            </w: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8"/>
          </w:tcPr>
          <w:p>
            <w:pPr>
              <w:ind w:left="60"/>
              <w:spacing w:after="0" w:line="22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TIF Partners, LLC</w:t>
              </w:r>
            </w:hyperlink>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CAPRICORN INVESTMENT GROUP, LLC</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512 WEST 22ND STREET, 6TH FLOOR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6"/>
          </w:tcPr>
          <w:p>
            <w:pPr>
              <w:spacing w:after="0" w:line="212"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Technology Impact Fund, LP</w:t>
              </w:r>
            </w:hyperlink>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CAPRICORN INVESTMENT GROUP, LLC</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512 WEST 22ND STREET, 6TH FLOOR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20" w:type="dxa"/>
            <w:vAlign w:val="bottom"/>
            <w:gridSpan w:val="8"/>
          </w:tcPr>
          <w:p>
            <w:pPr>
              <w:spacing w:after="0" w:line="212"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TIGF II Direct Strategies LLC - Series 7</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top w:val="single" w:sz="8" w:color="0000EE"/>
              <w:bottom w:val="single" w:sz="8" w:color="9A9A9A"/>
            </w:tcBorders>
          </w:tcPr>
          <w:p>
            <w:pPr>
              <w:spacing w:after="0"/>
              <w:rPr>
                <w:sz w:val="13"/>
                <w:szCs w:val="13"/>
                <w:color w:val="auto"/>
              </w:rPr>
            </w:pPr>
          </w:p>
        </w:tc>
        <w:tc>
          <w:tcPr>
            <w:tcW w:w="14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CAPRICORN INVESTMENT GROUP, LLC</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512 WEST 22ND STREET, 6TH FLOOR</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NY</w:t>
            </w:r>
          </w:p>
        </w:tc>
        <w:tc>
          <w:tcPr>
            <w:tcW w:w="86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10011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(State)</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gridSpan w:val="2"/>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80" w:type="dxa"/>
            <w:vAlign w:val="bottom"/>
            <w:gridSpan w:val="8"/>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spacing w:after="0" w:line="212" w:lineRule="exact"/>
              <w:rPr>
                <w:rFonts w:ascii="Times New Roman" w:cs="Times New Roman" w:eastAsia="Times New Roman" w:hAnsi="Times New Roman"/>
                <w:sz w:val="20"/>
                <w:szCs w:val="20"/>
                <w:color w:val="0000EE"/>
              </w:rPr>
            </w:pPr>
            <w:hyperlink r:id="rId19">
              <w:r>
                <w:rPr>
                  <w:rFonts w:ascii="Times New Roman" w:cs="Times New Roman" w:eastAsia="Times New Roman" w:hAnsi="Times New Roman"/>
                  <w:sz w:val="20"/>
                  <w:szCs w:val="20"/>
                  <w:color w:val="0000EE"/>
                </w:rPr>
                <w:t>Saluja Dipender</w:t>
              </w:r>
            </w:hyperlink>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3"/>
          </w:tcPr>
          <w:p>
            <w:pPr>
              <w:ind w:left="60"/>
              <w:spacing w:after="0"/>
              <w:rPr>
                <w:sz w:val="20"/>
                <w:szCs w:val="20"/>
                <w:color w:val="auto"/>
              </w:rPr>
            </w:pPr>
            <w:r>
              <w:rPr>
                <w:rFonts w:ascii="Arial" w:cs="Arial" w:eastAsia="Arial" w:hAnsi="Arial"/>
                <w:sz w:val="12"/>
                <w:szCs w:val="12"/>
                <w:color w:val="auto"/>
              </w:rPr>
              <w:t>(First)</w:t>
            </w:r>
          </w:p>
        </w:tc>
        <w:tc>
          <w:tcPr>
            <w:tcW w:w="1040" w:type="dxa"/>
            <w:vAlign w:val="bottom"/>
            <w:gridSpan w:val="2"/>
          </w:tcPr>
          <w:p>
            <w:pPr>
              <w:ind w:left="420"/>
              <w:spacing w:after="0"/>
              <w:rPr>
                <w:sz w:val="20"/>
                <w:szCs w:val="20"/>
                <w:color w:val="auto"/>
              </w:rPr>
            </w:pPr>
            <w:r>
              <w:rPr>
                <w:rFonts w:ascii="Arial" w:cs="Arial" w:eastAsia="Arial" w:hAnsi="Arial"/>
                <w:sz w:val="12"/>
                <w:szCs w:val="12"/>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CAPRICORN INVESTMENT GROUP, LLC</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0000FF"/>
        </w:rPr>
        <w:t>512 WEST 22ND STREET, 6TH FLOOR</w:t>
      </w:r>
    </w:p>
    <w:p>
      <w:pPr>
        <w:sectPr>
          <w:pgSz w:w="11900" w:h="16838" w:orient="portrait"/>
          <w:cols w:equalWidth="0" w:num="1">
            <w:col w:w="11080"/>
          </w:cols>
          <w:pgMar w:left="460" w:top="189" w:right="359" w:bottom="0" w:gutter="0" w:footer="0" w:header="0"/>
        </w:sect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080"/>
          </w:cols>
          <w:pgMar w:left="460" w:top="189" w:right="359" w:bottom="0" w:gutter="0" w:footer="0" w:header="0"/>
          <w:type w:val="continuous"/>
        </w:sectPr>
      </w:pPr>
    </w:p>
    <w:bookmarkStart w:id="2" w:name="page3"/>
    <w:bookmarkEnd w:id="2"/>
    <w:tbl>
      <w:tblPr>
        <w:tblLayout w:type="fixed"/>
        <w:tblInd w:w="63" w:type="dxa"/>
        <w:tblCellMar>
          <w:top w:w="0" w:type="dxa"/>
          <w:left w:w="0" w:type="dxa"/>
          <w:bottom w:w="0" w:type="dxa"/>
          <w:right w:w="0" w:type="dxa"/>
        </w:tblCellMar>
      </w:tblPr>
      <w:tr>
        <w:trPr>
          <w:trHeight w:val="211"/>
        </w:trPr>
        <w:tc>
          <w:tcPr>
            <w:tcW w:w="11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10011</w:t>
            </w:r>
          </w:p>
        </w:tc>
      </w:tr>
      <w:tr>
        <w:trPr>
          <w:trHeight w:val="144"/>
        </w:trPr>
        <w:tc>
          <w:tcPr>
            <w:tcW w:w="114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0"/>
        </w:trPr>
        <w:tc>
          <w:tcPr>
            <w:tcW w:w="1140" w:type="dxa"/>
            <w:vAlign w:val="bottom"/>
          </w:tcPr>
          <w:p>
            <w:pPr>
              <w:ind w:left="20"/>
              <w:spacing w:after="0"/>
              <w:rPr>
                <w:sz w:val="20"/>
                <w:szCs w:val="20"/>
                <w:color w:val="auto"/>
              </w:rPr>
            </w:pPr>
            <w:r>
              <w:rPr>
                <w:rFonts w:ascii="Arial" w:cs="Arial" w:eastAsia="Arial" w:hAnsi="Arial"/>
                <w:sz w:val="12"/>
                <w:szCs w:val="12"/>
                <w:color w:val="auto"/>
              </w:rPr>
              <w:t>(City)</w:t>
            </w:r>
          </w:p>
        </w:tc>
        <w:tc>
          <w:tcPr>
            <w:tcW w:w="1160" w:type="dxa"/>
            <w:vAlign w:val="bottom"/>
          </w:tcPr>
          <w:p>
            <w:pPr>
              <w:ind w:left="280"/>
              <w:spacing w:after="0"/>
              <w:rPr>
                <w:sz w:val="20"/>
                <w:szCs w:val="20"/>
                <w:color w:val="auto"/>
              </w:rPr>
            </w:pPr>
            <w:r>
              <w:rPr>
                <w:rFonts w:ascii="Arial" w:cs="Arial" w:eastAsia="Arial" w:hAnsi="Arial"/>
                <w:sz w:val="12"/>
                <w:szCs w:val="12"/>
                <w:color w:val="auto"/>
              </w:rPr>
              <w:t>(State)</w:t>
            </w:r>
          </w:p>
        </w:tc>
        <w:tc>
          <w:tcPr>
            <w:tcW w:w="188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-413385</wp:posOffset>
            </wp:positionV>
            <wp:extent cx="280987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09875" cy="488315"/>
                    </a:xfrm>
                    <a:prstGeom prst="rect">
                      <a:avLst/>
                    </a:prstGeom>
                    <a:noFill/>
                  </pic:spPr>
                </pic:pic>
              </a:graphicData>
            </a:graphic>
          </wp:anchor>
        </w:drawing>
      </w:r>
    </w:p>
    <w:p>
      <w:pPr>
        <w:spacing w:after="0" w:line="102" w:lineRule="exact"/>
        <w:rPr>
          <w:sz w:val="20"/>
          <w:szCs w:val="20"/>
          <w:color w:val="auto"/>
        </w:rPr>
      </w:pPr>
    </w:p>
    <w:p>
      <w:pPr>
        <w:ind w:left="3"/>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3" w:right="300" w:hanging="3"/>
        <w:spacing w:after="0" w:line="282"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the Series B, Series C-1, Series C-3, Series D-1, Series D-3 and Series E-1 Preferred Stock converted into Class A Common Stock immediately prior to the completion of the Issuer's initial public offering pursuant to its terms and had no expiration date.</w:t>
      </w:r>
    </w:p>
    <w:p>
      <w:pPr>
        <w:ind w:left="3"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directly by Technology Impact Fund, LP ("TIF I"). TIF Partners, LLC ("TIF Partners I") is the general partner of TIF I and Ion Yadigaroglu and Dipender Saluja are the managers of TIF Partners I. Each of TIF Partners I and Messrs. Yadigaroglu and Saluja may be deemed to to beneficially own the securities held by TIF I. Each of TIF Partners I and Mr. Saluja disclaims beneficial ownership of such securities except to the extent of its or his respective pecuniary interest therein. Mr. Yadigaroglu is a director of the Issuer and files separate Section 16 reports.</w:t>
      </w:r>
    </w:p>
    <w:p>
      <w:pPr>
        <w:spacing w:after="0" w:line="13" w:lineRule="exact"/>
        <w:rPr>
          <w:rFonts w:ascii="Times New Roman" w:cs="Times New Roman" w:eastAsia="Times New Roman" w:hAnsi="Times New Roman"/>
          <w:sz w:val="12"/>
          <w:szCs w:val="12"/>
          <w:color w:val="008000"/>
        </w:rPr>
      </w:pPr>
    </w:p>
    <w:p>
      <w:pPr>
        <w:ind w:left="3" w:right="24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directly by Technology Impact Growth Fund II, LP ("TIGF II"). TIGF Partners II, LLC ("TIGF Partners II") is the general partner of TIGF II and Ion Yadigaroglu and Dipender Saluja are the managers of TIGF Partners II. Each of TIGF Partners II and Messrs. Yadigaroglu and Saluja may be deemed to to beneficially own the securities held by TIGF II. Each of TIGF Partners II and Mr. Saluja disclaims beneficial ownership of such securities except to the extent of its or his respective pecuniary interest therein. Mr. Yadigaroglu is a director of the Issuer and files separate Section 16 reports.</w:t>
      </w:r>
    </w:p>
    <w:p>
      <w:pPr>
        <w:spacing w:after="0" w:line="13" w:lineRule="exact"/>
        <w:rPr>
          <w:rFonts w:ascii="Times New Roman" w:cs="Times New Roman" w:eastAsia="Times New Roman" w:hAnsi="Times New Roman"/>
          <w:sz w:val="12"/>
          <w:szCs w:val="12"/>
          <w:color w:val="008000"/>
        </w:rPr>
      </w:pPr>
    </w:p>
    <w:p>
      <w:pPr>
        <w:jc w:val="both"/>
        <w:ind w:left="3" w:right="38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directly by TIGF II Direct Strategies LLC - Series 5 ("TIGF II DS 5"). TIGF Partners II is the manager of TIGF II DS 5 and Ion Yadigaroglu and Dipender Saluja are the managers of TIGF Partners II. Each of TIGF Partners II and Messrs. Yadigaroglu and Saluja may be deemed to to beneficially own the securities held by TIGF II DS 5. Each of TIGF Partners II and Mr. Saluja disclaims beneficial ownership of such securities except to the extent of its or his respective pecuniary interest therein. Mr. Yadigaroglu is a director of the Issuer and files separate Section 16 reports.</w:t>
      </w:r>
    </w:p>
    <w:p>
      <w:pPr>
        <w:spacing w:after="0" w:line="13" w:lineRule="exact"/>
        <w:rPr>
          <w:rFonts w:ascii="Times New Roman" w:cs="Times New Roman" w:eastAsia="Times New Roman" w:hAnsi="Times New Roman"/>
          <w:sz w:val="12"/>
          <w:szCs w:val="12"/>
          <w:color w:val="008000"/>
        </w:rPr>
      </w:pPr>
    </w:p>
    <w:p>
      <w:pPr>
        <w:jc w:val="both"/>
        <w:ind w:left="3" w:right="380" w:hanging="3"/>
        <w:spacing w:after="0" w:line="260" w:lineRule="auto"/>
        <w:tabs>
          <w:tab w:leader="none" w:pos="128"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are held directly by TIGF II Direct Strategies LLC - Series 7 ("TIGF II DS 7"). TIGF Partners II is the manager of TIGF II DS 7 and Ion Yadigaroglu and Dipender Saluja are the managers of TIGF Partners II. Each of TIGF Partners II and Messrs. Yadigaroglu and Saluja may be deemed to to beneficially own the securities held by TIGF II DS 7. Each of TIGF Partners II and Mr. Saluja disclaims beneficial ownership of such securities except to the extent of its or his respective pecuniary interest therein. Mr. Yadigaroglu is a director of the Issuer and files separate Section 16 reports.</w:t>
      </w:r>
    </w:p>
    <w:p>
      <w:pPr>
        <w:sectPr>
          <w:pgSz w:w="11900" w:h="16838" w:orient="portrait"/>
          <w:cols w:equalWidth="0" w:num="1">
            <w:col w:w="10883"/>
          </w:cols>
          <w:pgMar w:left="497" w:top="127" w:right="519" w:bottom="1440" w:gutter="0" w:footer="0" w:header="0"/>
        </w:sectPr>
      </w:pPr>
    </w:p>
    <w:p>
      <w:pPr>
        <w:spacing w:after="0" w:line="39"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TIF Partners,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10598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Dipender Saluja,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0852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8521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Technology Impact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12217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2174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By TIF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0598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5981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General Partner, By /s/ Dipender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35001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50010"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Saluja,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6756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675640"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TIGF II Direct Strategies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13201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2016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Series 7, By TIGF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2401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LLC, its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02679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26795" cy="7620"/>
                    </a:xfrm>
                    <a:prstGeom prst="rect">
                      <a:avLst/>
                    </a:prstGeom>
                    <a:noFill/>
                  </pic:spPr>
                </pic:pic>
              </a:graphicData>
            </a:graphic>
          </wp:anchor>
        </w:drawing>
      </w:r>
    </w:p>
    <w:p>
      <w:pPr>
        <w:ind w:left="6563"/>
        <w:spacing w:after="0"/>
        <w:rPr>
          <w:sz w:val="20"/>
          <w:szCs w:val="20"/>
          <w:color w:val="auto"/>
        </w:rPr>
      </w:pPr>
      <w:r>
        <w:rPr>
          <w:rFonts w:ascii="Times New Roman" w:cs="Times New Roman" w:eastAsia="Times New Roman" w:hAnsi="Times New Roman"/>
          <w:sz w:val="16"/>
          <w:szCs w:val="16"/>
          <w:color w:val="0000FF"/>
        </w:rPr>
        <w:t>Dipender Saluja,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-12065</wp:posOffset>
            </wp:positionV>
            <wp:extent cx="108521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85215" cy="7620"/>
                    </a:xfrm>
                    <a:prstGeom prst="rect">
                      <a:avLst/>
                    </a:prstGeom>
                    <a:noFill/>
                  </pic:spPr>
                </pic:pic>
              </a:graphicData>
            </a:graphic>
          </wp:anchor>
        </w:drawing>
      </w:r>
    </w:p>
    <w:p>
      <w:pPr>
        <w:spacing w:after="0" w:line="35"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/s/ Dipender Saluja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-5080</wp:posOffset>
            </wp:positionV>
            <wp:extent cx="79057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90575" cy="7620"/>
                    </a:xfrm>
                    <a:prstGeom prst="rect">
                      <a:avLst/>
                    </a:prstGeom>
                    <a:noFill/>
                  </pic:spPr>
                </pic:pic>
              </a:graphicData>
            </a:graphic>
          </wp:anchor>
        </w:drawing>
      </w:r>
    </w:p>
    <w:p>
      <w:pPr>
        <w:spacing w:after="0" w:line="46" w:lineRule="exact"/>
        <w:rPr>
          <w:sz w:val="20"/>
          <w:szCs w:val="20"/>
          <w:color w:val="auto"/>
        </w:rPr>
      </w:pPr>
    </w:p>
    <w:p>
      <w:pPr>
        <w:ind w:left="6563"/>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699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69900" cy="7620"/>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9" w:lineRule="exact"/>
        <w:rPr>
          <w:sz w:val="20"/>
          <w:szCs w:val="20"/>
          <w:color w:val="auto"/>
        </w:rPr>
      </w:pPr>
    </w:p>
    <w:p>
      <w:pPr>
        <w:sectPr>
          <w:pgSz w:w="11900" w:h="16838" w:orient="portrait"/>
          <w:cols w:equalWidth="0" w:num="2">
            <w:col w:w="8683" w:space="80"/>
            <w:col w:w="2120"/>
          </w:cols>
          <w:pgMar w:left="497" w:top="127" w:right="519" w:bottom="1440" w:gutter="0" w:footer="0" w:header="0"/>
          <w:type w:val="continuous"/>
        </w:sect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3680" w:hanging="3"/>
        <w:spacing w:after="0" w:line="325"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3"/>
      </w:cols>
      <w:pgMar w:left="497" w:top="127"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3" Type="http://schemas.openxmlformats.org/officeDocument/2006/relationships/hyperlink" Target="http://www.sec.gov/cgi-bin/browse-edgar?action=getcompany&amp;CIK=0001890375" TargetMode="External"/><Relationship Id="rId14" Type="http://schemas.openxmlformats.org/officeDocument/2006/relationships/hyperlink" Target="http://www.sec.gov/cgi-bin/browse-edgar?action=getcompany&amp;CIK=0001853868" TargetMode="External"/><Relationship Id="rId17" Type="http://schemas.openxmlformats.org/officeDocument/2006/relationships/hyperlink" Target="http://www.sec.gov/cgi-bin/browse-edgar?action=getcompany&amp;CIK=0001714927" TargetMode="External"/><Relationship Id="rId18" Type="http://schemas.openxmlformats.org/officeDocument/2006/relationships/hyperlink" Target="http://www.sec.gov/cgi-bin/browse-edgar?action=getcompany&amp;CIK=0002099140" TargetMode="External"/><Relationship Id="rId19" Type="http://schemas.openxmlformats.org/officeDocument/2006/relationships/hyperlink" Target="http://www.sec.gov/cgi-bin/browse-edgar?action=getcompany&amp;CIK=0001834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2026-05-18T16:00:43Z</dcterms:created>
  <dcterms:modified xsi:type="dcterms:W3CDTF">2026-05-18T16:00:43Z</dcterms:modified>
</cp:coreProperties>
</file>