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80" w:type="dxa"/>
        <w:tblCellMar>
          <w:top w:w="0" w:type="dxa"/>
          <w:left w:w="0" w:type="dxa"/>
          <w:bottom w:w="0" w:type="dxa"/>
          <w:right w:w="0" w:type="dxa"/>
        </w:tblCellMar>
      </w:tblPr>
      <w:tr>
        <w:trPr>
          <w:trHeight w:val="334"/>
        </w:trPr>
        <w:tc>
          <w:tcPr>
            <w:tcW w:w="2600" w:type="dxa"/>
            <w:vAlign w:val="bottom"/>
          </w:tcPr>
          <w:p>
            <w:pPr>
              <w:spacing w:after="0"/>
              <w:rPr>
                <w:sz w:val="24"/>
                <w:szCs w:val="24"/>
                <w:color w:val="auto"/>
              </w:rPr>
            </w:pPr>
          </w:p>
        </w:tc>
        <w:tc>
          <w:tcPr>
            <w:tcW w:w="4460" w:type="dxa"/>
            <w:vAlign w:val="bottom"/>
            <w:gridSpan w:val="2"/>
          </w:tcPr>
          <w:p>
            <w:pPr>
              <w:jc w:val="center"/>
              <w:ind w:right="901"/>
              <w:spacing w:after="0"/>
              <w:rPr>
                <w:sz w:val="20"/>
                <w:szCs w:val="20"/>
                <w:color w:val="auto"/>
              </w:rPr>
            </w:pPr>
            <w:r>
              <w:rPr>
                <w:rFonts w:ascii="Times New Roman" w:cs="Times New Roman" w:eastAsia="Times New Roman" w:hAnsi="Times New Roman"/>
                <w:sz w:val="25"/>
                <w:szCs w:val="25"/>
                <w:b w:val="1"/>
                <w:bCs w:val="1"/>
                <w:color w:val="auto"/>
                <w:w w:val="98"/>
              </w:rPr>
              <w:t>UNITED STATES</w:t>
            </w:r>
          </w:p>
        </w:tc>
        <w:tc>
          <w:tcPr>
            <w:tcW w:w="0" w:type="dxa"/>
            <w:vAlign w:val="bottom"/>
          </w:tcPr>
          <w:p>
            <w:pPr>
              <w:spacing w:after="0"/>
              <w:rPr>
                <w:sz w:val="1"/>
                <w:szCs w:val="1"/>
                <w:color w:val="auto"/>
              </w:rPr>
            </w:pPr>
          </w:p>
        </w:tc>
      </w:tr>
      <w:tr>
        <w:trPr>
          <w:trHeight w:val="351"/>
        </w:trPr>
        <w:tc>
          <w:tcPr>
            <w:tcW w:w="7060" w:type="dxa"/>
            <w:vAlign w:val="bottom"/>
            <w:gridSpan w:val="3"/>
          </w:tcPr>
          <w:p>
            <w:pPr>
              <w:jc w:val="center"/>
              <w:ind w:left="155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tc>
        <w:tc>
          <w:tcPr>
            <w:tcW w:w="0" w:type="dxa"/>
            <w:vAlign w:val="bottom"/>
          </w:tcPr>
          <w:p>
            <w:pPr>
              <w:spacing w:after="0"/>
              <w:rPr>
                <w:sz w:val="1"/>
                <w:szCs w:val="1"/>
                <w:color w:val="auto"/>
              </w:rPr>
            </w:pPr>
          </w:p>
        </w:tc>
      </w:tr>
      <w:tr>
        <w:trPr>
          <w:trHeight w:val="300"/>
        </w:trPr>
        <w:tc>
          <w:tcPr>
            <w:tcW w:w="2600" w:type="dxa"/>
            <w:vAlign w:val="bottom"/>
          </w:tcPr>
          <w:p>
            <w:pPr>
              <w:spacing w:after="0"/>
              <w:rPr>
                <w:sz w:val="24"/>
                <w:szCs w:val="24"/>
                <w:color w:val="auto"/>
              </w:rPr>
            </w:pPr>
          </w:p>
        </w:tc>
        <w:tc>
          <w:tcPr>
            <w:tcW w:w="4460" w:type="dxa"/>
            <w:vAlign w:val="bottom"/>
            <w:gridSpan w:val="2"/>
          </w:tcPr>
          <w:p>
            <w:pPr>
              <w:jc w:val="center"/>
              <w:ind w:right="881"/>
              <w:spacing w:after="0"/>
              <w:rPr>
                <w:sz w:val="20"/>
                <w:szCs w:val="20"/>
                <w:color w:val="auto"/>
              </w:rPr>
            </w:pPr>
            <w:r>
              <w:rPr>
                <w:rFonts w:ascii="Times New Roman" w:cs="Times New Roman" w:eastAsia="Times New Roman" w:hAnsi="Times New Roman"/>
                <w:sz w:val="22"/>
                <w:szCs w:val="22"/>
                <w:b w:val="1"/>
                <w:bCs w:val="1"/>
                <w:color w:val="auto"/>
                <w:w w:val="97"/>
              </w:rPr>
              <w:t>Washington, D.C. 20549</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4"/>
                <w:szCs w:val="24"/>
                <w:color w:val="auto"/>
              </w:rPr>
            </w:pPr>
          </w:p>
        </w:tc>
        <w:tc>
          <w:tcPr>
            <w:tcW w:w="4460" w:type="dxa"/>
            <w:vAlign w:val="bottom"/>
            <w:gridSpan w:val="2"/>
          </w:tcPr>
          <w:p>
            <w:pPr>
              <w:jc w:val="center"/>
              <w:ind w:right="881"/>
              <w:spacing w:after="0"/>
              <w:rPr>
                <w:sz w:val="20"/>
                <w:szCs w:val="20"/>
                <w:color w:val="auto"/>
              </w:rPr>
            </w:pPr>
            <w:r>
              <w:rPr>
                <w:rFonts w:ascii="Times New Roman" w:cs="Times New Roman" w:eastAsia="Times New Roman" w:hAnsi="Times New Roman"/>
                <w:sz w:val="22"/>
                <w:szCs w:val="22"/>
                <w:color w:val="808080"/>
                <w:w w:val="97"/>
              </w:rPr>
              <w:t>___________</w:t>
            </w:r>
          </w:p>
        </w:tc>
        <w:tc>
          <w:tcPr>
            <w:tcW w:w="0" w:type="dxa"/>
            <w:vAlign w:val="bottom"/>
          </w:tcPr>
          <w:p>
            <w:pPr>
              <w:spacing w:after="0"/>
              <w:rPr>
                <w:sz w:val="1"/>
                <w:szCs w:val="1"/>
                <w:color w:val="auto"/>
              </w:rPr>
            </w:pPr>
          </w:p>
        </w:tc>
      </w:tr>
      <w:tr>
        <w:trPr>
          <w:trHeight w:val="508"/>
        </w:trPr>
        <w:tc>
          <w:tcPr>
            <w:tcW w:w="2600" w:type="dxa"/>
            <w:vAlign w:val="bottom"/>
          </w:tcPr>
          <w:p>
            <w:pPr>
              <w:spacing w:after="0"/>
              <w:rPr>
                <w:sz w:val="24"/>
                <w:szCs w:val="24"/>
                <w:color w:val="auto"/>
              </w:rPr>
            </w:pPr>
          </w:p>
        </w:tc>
        <w:tc>
          <w:tcPr>
            <w:tcW w:w="4460" w:type="dxa"/>
            <w:vAlign w:val="bottom"/>
            <w:gridSpan w:val="2"/>
          </w:tcPr>
          <w:p>
            <w:pPr>
              <w:jc w:val="center"/>
              <w:ind w:right="881"/>
              <w:spacing w:after="0"/>
              <w:rPr>
                <w:sz w:val="20"/>
                <w:szCs w:val="20"/>
                <w:color w:val="auto"/>
              </w:rPr>
            </w:pPr>
            <w:r>
              <w:rPr>
                <w:rFonts w:ascii="Times New Roman" w:cs="Times New Roman" w:eastAsia="Times New Roman" w:hAnsi="Times New Roman"/>
                <w:sz w:val="29"/>
                <w:szCs w:val="29"/>
                <w:b w:val="1"/>
                <w:bCs w:val="1"/>
                <w:color w:val="auto"/>
                <w:w w:val="99"/>
              </w:rPr>
              <w:t>FORM 8-K</w:t>
            </w:r>
          </w:p>
        </w:tc>
        <w:tc>
          <w:tcPr>
            <w:tcW w:w="0" w:type="dxa"/>
            <w:vAlign w:val="bottom"/>
          </w:tcPr>
          <w:p>
            <w:pPr>
              <w:spacing w:after="0"/>
              <w:rPr>
                <w:sz w:val="1"/>
                <w:szCs w:val="1"/>
                <w:color w:val="auto"/>
              </w:rPr>
            </w:pPr>
          </w:p>
        </w:tc>
      </w:tr>
      <w:tr>
        <w:trPr>
          <w:trHeight w:val="493"/>
        </w:trPr>
        <w:tc>
          <w:tcPr>
            <w:tcW w:w="2600" w:type="dxa"/>
            <w:vAlign w:val="bottom"/>
          </w:tcPr>
          <w:p>
            <w:pPr>
              <w:spacing w:after="0"/>
              <w:rPr>
                <w:sz w:val="24"/>
                <w:szCs w:val="24"/>
                <w:color w:val="auto"/>
              </w:rPr>
            </w:pPr>
          </w:p>
        </w:tc>
        <w:tc>
          <w:tcPr>
            <w:tcW w:w="4460" w:type="dxa"/>
            <w:vAlign w:val="bottom"/>
            <w:gridSpan w:val="2"/>
          </w:tcPr>
          <w:p>
            <w:pPr>
              <w:jc w:val="center"/>
              <w:ind w:right="901"/>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0" w:type="dxa"/>
            <w:vAlign w:val="bottom"/>
          </w:tcPr>
          <w:p>
            <w:pPr>
              <w:spacing w:after="0"/>
              <w:rPr>
                <w:sz w:val="1"/>
                <w:szCs w:val="1"/>
                <w:color w:val="auto"/>
              </w:rPr>
            </w:pPr>
          </w:p>
        </w:tc>
      </w:tr>
      <w:tr>
        <w:trPr>
          <w:trHeight w:val="256"/>
        </w:trPr>
        <w:tc>
          <w:tcPr>
            <w:tcW w:w="2600" w:type="dxa"/>
            <w:vAlign w:val="bottom"/>
          </w:tcPr>
          <w:p>
            <w:pPr>
              <w:spacing w:after="0"/>
              <w:rPr>
                <w:sz w:val="22"/>
                <w:szCs w:val="22"/>
                <w:color w:val="auto"/>
              </w:rPr>
            </w:pPr>
          </w:p>
        </w:tc>
        <w:tc>
          <w:tcPr>
            <w:tcW w:w="4460" w:type="dxa"/>
            <w:vAlign w:val="bottom"/>
            <w:gridSpan w:val="2"/>
          </w:tcPr>
          <w:p>
            <w:pPr>
              <w:jc w:val="center"/>
              <w:ind w:right="901"/>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4460" w:type="dxa"/>
            <w:vAlign w:val="bottom"/>
            <w:gridSpan w:val="2"/>
          </w:tcPr>
          <w:p>
            <w:pPr>
              <w:jc w:val="center"/>
              <w:ind w:right="881"/>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0" w:type="dxa"/>
            <w:vAlign w:val="bottom"/>
          </w:tcPr>
          <w:p>
            <w:pPr>
              <w:spacing w:after="0"/>
              <w:rPr>
                <w:sz w:val="1"/>
                <w:szCs w:val="1"/>
                <w:color w:val="auto"/>
              </w:rPr>
            </w:pPr>
          </w:p>
        </w:tc>
      </w:tr>
      <w:tr>
        <w:trPr>
          <w:trHeight w:val="499"/>
        </w:trPr>
        <w:tc>
          <w:tcPr>
            <w:tcW w:w="7060" w:type="dxa"/>
            <w:vAlign w:val="bottom"/>
            <w:gridSpan w:val="3"/>
          </w:tcPr>
          <w:p>
            <w:pPr>
              <w:jc w:val="center"/>
              <w:ind w:left="1553"/>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6"/>
                <w:szCs w:val="16"/>
                <w:b w:val="1"/>
                <w:bCs w:val="1"/>
                <w:color w:val="auto"/>
              </w:rPr>
              <w:t>June 22, 2026</w:t>
            </w:r>
          </w:p>
        </w:tc>
        <w:tc>
          <w:tcPr>
            <w:tcW w:w="0" w:type="dxa"/>
            <w:vAlign w:val="bottom"/>
          </w:tcPr>
          <w:p>
            <w:pPr>
              <w:spacing w:after="0"/>
              <w:rPr>
                <w:sz w:val="1"/>
                <w:szCs w:val="1"/>
                <w:color w:val="auto"/>
              </w:rPr>
            </w:pPr>
          </w:p>
        </w:tc>
      </w:tr>
      <w:tr>
        <w:trPr>
          <w:trHeight w:val="295"/>
        </w:trPr>
        <w:tc>
          <w:tcPr>
            <w:tcW w:w="2600" w:type="dxa"/>
            <w:vAlign w:val="bottom"/>
          </w:tcPr>
          <w:p>
            <w:pPr>
              <w:spacing w:after="0"/>
              <w:rPr>
                <w:sz w:val="24"/>
                <w:szCs w:val="24"/>
                <w:color w:val="auto"/>
              </w:rPr>
            </w:pPr>
          </w:p>
        </w:tc>
        <w:tc>
          <w:tcPr>
            <w:tcW w:w="4460" w:type="dxa"/>
            <w:vAlign w:val="bottom"/>
            <w:gridSpan w:val="2"/>
          </w:tcPr>
          <w:p>
            <w:pPr>
              <w:jc w:val="center"/>
              <w:ind w:right="881"/>
              <w:spacing w:after="0"/>
              <w:rPr>
                <w:sz w:val="20"/>
                <w:szCs w:val="20"/>
                <w:color w:val="auto"/>
              </w:rPr>
            </w:pPr>
            <w:r>
              <w:rPr>
                <w:rFonts w:ascii="Times New Roman" w:cs="Times New Roman" w:eastAsia="Times New Roman" w:hAnsi="Times New Roman"/>
                <w:sz w:val="22"/>
                <w:szCs w:val="22"/>
                <w:color w:val="808080"/>
                <w:w w:val="97"/>
              </w:rPr>
              <w:t>___________</w:t>
            </w:r>
          </w:p>
        </w:tc>
        <w:tc>
          <w:tcPr>
            <w:tcW w:w="0" w:type="dxa"/>
            <w:vAlign w:val="bottom"/>
          </w:tcPr>
          <w:p>
            <w:pPr>
              <w:spacing w:after="0"/>
              <w:rPr>
                <w:sz w:val="1"/>
                <w:szCs w:val="1"/>
                <w:color w:val="auto"/>
              </w:rPr>
            </w:pPr>
          </w:p>
        </w:tc>
      </w:tr>
      <w:tr>
        <w:trPr>
          <w:trHeight w:val="469"/>
        </w:trPr>
        <w:tc>
          <w:tcPr>
            <w:tcW w:w="2600" w:type="dxa"/>
            <w:vAlign w:val="bottom"/>
          </w:tcPr>
          <w:p>
            <w:pPr>
              <w:spacing w:after="0"/>
              <w:rPr>
                <w:sz w:val="24"/>
                <w:szCs w:val="24"/>
                <w:color w:val="auto"/>
              </w:rPr>
            </w:pPr>
          </w:p>
        </w:tc>
        <w:tc>
          <w:tcPr>
            <w:tcW w:w="4460" w:type="dxa"/>
            <w:vAlign w:val="bottom"/>
            <w:gridSpan w:val="2"/>
          </w:tcPr>
          <w:p>
            <w:pPr>
              <w:jc w:val="center"/>
              <w:ind w:right="901"/>
              <w:spacing w:after="0"/>
              <w:rPr>
                <w:sz w:val="20"/>
                <w:szCs w:val="20"/>
                <w:color w:val="auto"/>
              </w:rPr>
            </w:pPr>
            <w:r>
              <w:rPr>
                <w:rFonts w:ascii="Times New Roman" w:cs="Times New Roman" w:eastAsia="Times New Roman" w:hAnsi="Times New Roman"/>
                <w:sz w:val="25"/>
                <w:szCs w:val="25"/>
                <w:b w:val="1"/>
                <w:bCs w:val="1"/>
                <w:color w:val="auto"/>
                <w:w w:val="99"/>
              </w:rPr>
              <w:t>FERVO ENERGY COMPANY</w:t>
            </w:r>
          </w:p>
        </w:tc>
        <w:tc>
          <w:tcPr>
            <w:tcW w:w="0" w:type="dxa"/>
            <w:vAlign w:val="bottom"/>
          </w:tcPr>
          <w:p>
            <w:pPr>
              <w:spacing w:after="0"/>
              <w:rPr>
                <w:sz w:val="1"/>
                <w:szCs w:val="1"/>
                <w:color w:val="auto"/>
              </w:rPr>
            </w:pPr>
          </w:p>
        </w:tc>
      </w:tr>
      <w:tr>
        <w:trPr>
          <w:trHeight w:val="248"/>
        </w:trPr>
        <w:tc>
          <w:tcPr>
            <w:tcW w:w="7060" w:type="dxa"/>
            <w:vAlign w:val="bottom"/>
            <w:gridSpan w:val="3"/>
          </w:tcPr>
          <w:p>
            <w:pPr>
              <w:jc w:val="center"/>
              <w:ind w:left="1533"/>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tc>
        <w:tc>
          <w:tcPr>
            <w:tcW w:w="0" w:type="dxa"/>
            <w:vAlign w:val="bottom"/>
          </w:tcPr>
          <w:p>
            <w:pPr>
              <w:spacing w:after="0"/>
              <w:rPr>
                <w:sz w:val="1"/>
                <w:szCs w:val="1"/>
                <w:color w:val="auto"/>
              </w:rPr>
            </w:pPr>
          </w:p>
        </w:tc>
      </w:tr>
      <w:tr>
        <w:trPr>
          <w:trHeight w:val="463"/>
        </w:trPr>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w:t>
            </w:r>
          </w:p>
        </w:tc>
        <w:tc>
          <w:tcPr>
            <w:tcW w:w="1940" w:type="dxa"/>
            <w:vAlign w:val="bottom"/>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001-43285</w:t>
            </w:r>
          </w:p>
        </w:tc>
        <w:tc>
          <w:tcPr>
            <w:tcW w:w="2520" w:type="dxa"/>
            <w:vAlign w:val="bottom"/>
          </w:tcPr>
          <w:p>
            <w:pPr>
              <w:jc w:val="right"/>
              <w:ind w:right="861"/>
              <w:spacing w:after="0"/>
              <w:rPr>
                <w:sz w:val="20"/>
                <w:szCs w:val="20"/>
                <w:color w:val="auto"/>
              </w:rPr>
            </w:pPr>
            <w:r>
              <w:rPr>
                <w:rFonts w:ascii="Times New Roman" w:cs="Times New Roman" w:eastAsia="Times New Roman" w:hAnsi="Times New Roman"/>
                <w:sz w:val="16"/>
                <w:szCs w:val="16"/>
                <w:b w:val="1"/>
                <w:bCs w:val="1"/>
                <w:color w:val="auto"/>
              </w:rPr>
              <w:t>82-3168838</w:t>
            </w:r>
          </w:p>
        </w:tc>
        <w:tc>
          <w:tcPr>
            <w:tcW w:w="0" w:type="dxa"/>
            <w:vAlign w:val="bottom"/>
          </w:tcPr>
          <w:p>
            <w:pPr>
              <w:spacing w:after="0"/>
              <w:rPr>
                <w:sz w:val="1"/>
                <w:szCs w:val="1"/>
                <w:color w:val="auto"/>
              </w:rPr>
            </w:pPr>
          </w:p>
        </w:tc>
      </w:tr>
      <w:tr>
        <w:trPr>
          <w:trHeight w:val="188"/>
        </w:trPr>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2520" w:type="dxa"/>
            <w:vAlign w:val="bottom"/>
          </w:tcPr>
          <w:p>
            <w:pPr>
              <w:jc w:val="center"/>
              <w:ind w:right="61"/>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33"/>
        </w:trPr>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811 Main Street</w:t>
            </w:r>
          </w:p>
        </w:tc>
        <w:tc>
          <w:tcPr>
            <w:tcW w:w="19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Suite 1700</w:t>
            </w:r>
          </w:p>
        </w:tc>
        <w:tc>
          <w:tcPr>
            <w:tcW w:w="1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700"/>
              <w:spacing w:after="0"/>
              <w:rPr>
                <w:sz w:val="20"/>
                <w:szCs w:val="20"/>
                <w:color w:val="auto"/>
              </w:rPr>
            </w:pPr>
            <w:r>
              <w:rPr>
                <w:rFonts w:ascii="Times New Roman" w:cs="Times New Roman" w:eastAsia="Times New Roman" w:hAnsi="Times New Roman"/>
                <w:sz w:val="16"/>
                <w:szCs w:val="16"/>
                <w:b w:val="1"/>
                <w:bCs w:val="1"/>
                <w:color w:val="auto"/>
              </w:rPr>
              <w:t>Houston, TX</w:t>
            </w:r>
          </w:p>
        </w:tc>
        <w:tc>
          <w:tcPr>
            <w:tcW w:w="1940" w:type="dxa"/>
            <w:vAlign w:val="bottom"/>
          </w:tcPr>
          <w:p>
            <w:pPr>
              <w:spacing w:after="0"/>
              <w:rPr>
                <w:sz w:val="18"/>
                <w:szCs w:val="18"/>
                <w:color w:val="auto"/>
              </w:rPr>
            </w:pPr>
          </w:p>
        </w:tc>
        <w:tc>
          <w:tcPr>
            <w:tcW w:w="2520" w:type="dxa"/>
            <w:vAlign w:val="bottom"/>
          </w:tcPr>
          <w:p>
            <w:pPr>
              <w:jc w:val="right"/>
              <w:ind w:right="1041"/>
              <w:spacing w:after="0"/>
              <w:rPr>
                <w:sz w:val="20"/>
                <w:szCs w:val="20"/>
                <w:color w:val="auto"/>
              </w:rPr>
            </w:pPr>
            <w:r>
              <w:rPr>
                <w:rFonts w:ascii="Times New Roman" w:cs="Times New Roman" w:eastAsia="Times New Roman" w:hAnsi="Times New Roman"/>
                <w:sz w:val="16"/>
                <w:szCs w:val="16"/>
                <w:b w:val="1"/>
                <w:bCs w:val="1"/>
                <w:color w:val="auto"/>
              </w:rPr>
              <w:t>77002</w:t>
            </w:r>
          </w:p>
        </w:tc>
        <w:tc>
          <w:tcPr>
            <w:tcW w:w="0" w:type="dxa"/>
            <w:vAlign w:val="bottom"/>
          </w:tcPr>
          <w:p>
            <w:pPr>
              <w:spacing w:after="0"/>
              <w:rPr>
                <w:sz w:val="1"/>
                <w:szCs w:val="1"/>
                <w:color w:val="auto"/>
              </w:rPr>
            </w:pPr>
          </w:p>
        </w:tc>
      </w:tr>
      <w:tr>
        <w:trPr>
          <w:trHeight w:val="216"/>
        </w:trPr>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(Address of principal</w:t>
            </w:r>
          </w:p>
        </w:tc>
        <w:tc>
          <w:tcPr>
            <w:tcW w:w="1940" w:type="dxa"/>
            <w:vAlign w:val="bottom"/>
          </w:tcPr>
          <w:p>
            <w:pPr>
              <w:spacing w:after="0"/>
              <w:rPr>
                <w:sz w:val="18"/>
                <w:szCs w:val="18"/>
                <w:color w:val="auto"/>
              </w:rPr>
            </w:pPr>
          </w:p>
        </w:tc>
        <w:tc>
          <w:tcPr>
            <w:tcW w:w="252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r>
        <w:trPr>
          <w:trHeight w:val="78"/>
        </w:trPr>
        <w:tc>
          <w:tcPr>
            <w:tcW w:w="2600" w:type="dxa"/>
            <w:vAlign w:val="bottom"/>
            <w:vMerge w:val="continue"/>
          </w:tcPr>
          <w:p>
            <w:pPr>
              <w:spacing w:after="0"/>
              <w:rPr>
                <w:sz w:val="6"/>
                <w:szCs w:val="6"/>
                <w:color w:val="auto"/>
              </w:rPr>
            </w:pPr>
          </w:p>
        </w:tc>
        <w:tc>
          <w:tcPr>
            <w:tcW w:w="19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9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294005</wp:posOffset>
            </wp:positionH>
            <wp:positionV relativeFrom="page">
              <wp:posOffset>706120</wp:posOffset>
            </wp:positionV>
            <wp:extent cx="6858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662940</wp:posOffset>
            </wp:positionV>
            <wp:extent cx="68580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17145"/>
                    </a:xfrm>
                    <a:prstGeom prst="rect">
                      <a:avLst/>
                    </a:prstGeom>
                    <a:noFill/>
                  </pic:spPr>
                </pic:pic>
              </a:graphicData>
            </a:graphic>
          </wp:anchor>
        </w:drawing>
        <w:t>executive offices)</w:t>
      </w: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(832) 554-3253</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63" w:lineRule="exact"/>
        <w:rPr>
          <w:sz w:val="24"/>
          <w:szCs w:val="24"/>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2" w:lineRule="exact"/>
        <w:rPr>
          <w:sz w:val="24"/>
          <w:szCs w:val="2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98" w:lineRule="exact"/>
        <w:rPr>
          <w:rFonts w:ascii="MS PGothic" w:cs="MS PGothic" w:eastAsia="MS PGothic" w:hAnsi="MS PGothic"/>
          <w:sz w:val="14"/>
          <w:szCs w:val="1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Soliciting material pursuant to Rule 14a-12 under the Exchange Act (17 CFR 240.14a-12)</w:t>
      </w:r>
    </w:p>
    <w:p>
      <w:pPr>
        <w:spacing w:after="0" w:line="298" w:lineRule="exact"/>
        <w:rPr>
          <w:rFonts w:ascii="MS PGothic" w:cs="MS PGothic" w:eastAsia="MS PGothic" w:hAnsi="MS PGothic"/>
          <w:sz w:val="14"/>
          <w:szCs w:val="1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Pre-commencement communications pursuant to Rule 14d-2(b) under the Exchange Act (17 CFR 240.14d-2(b))</w:t>
      </w:r>
    </w:p>
    <w:p>
      <w:pPr>
        <w:spacing w:after="0" w:line="134" w:lineRule="exact"/>
        <w:rPr>
          <w:rFonts w:ascii="MS PGothic" w:cs="MS PGothic" w:eastAsia="MS PGothic" w:hAnsi="MS PGothic"/>
          <w:sz w:val="14"/>
          <w:szCs w:val="1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Pre-commencement communications pursuant to Rule 13e-4(c) under the Exchange Act (17 CFR 240.13e-4(c))</w:t>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240"/>
          </w:cols>
          <w:pgMar w:left="320" w:top="1204" w:right="339" w:bottom="1440" w:gutter="0" w:footer="0" w:header="0"/>
        </w:sectPr>
      </w:pPr>
    </w:p>
    <w:p>
      <w:pPr>
        <w:spacing w:after="0" w:line="16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sectPr>
          <w:pgSz w:w="11900" w:h="16838" w:orient="portrait"/>
          <w:cols w:equalWidth="0" w:num="3">
            <w:col w:w="4160" w:space="720"/>
            <w:col w:w="2080" w:space="720"/>
            <w:col w:w="3560"/>
          </w:cols>
          <w:pgMar w:left="320" w:top="1204" w:right="33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4"/>
          <w:szCs w:val="14"/>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FRVO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The Nasdaq Stock Market LLC</w:t>
      </w:r>
    </w:p>
    <w:p>
      <w:pPr>
        <w:spacing w:after="0" w:line="42" w:lineRule="exact"/>
        <w:rPr>
          <w:sz w:val="24"/>
          <w:szCs w:val="24"/>
          <w:color w:val="auto"/>
        </w:rPr>
      </w:pPr>
    </w:p>
    <w:p>
      <w:pPr>
        <w:sectPr>
          <w:pgSz w:w="11900" w:h="16838" w:orient="portrait"/>
          <w:cols w:equalWidth="0" w:num="3">
            <w:col w:w="4560" w:space="720"/>
            <w:col w:w="2120" w:space="720"/>
            <w:col w:w="3120"/>
          </w:cols>
          <w:pgMar w:left="320" w:top="1204" w:right="339" w:bottom="1440" w:gutter="0" w:footer="0" w:header="0"/>
          <w:type w:val="continuous"/>
        </w:sectPr>
      </w:pPr>
    </w:p>
    <w:p>
      <w:pPr>
        <w:ind w:left="8040"/>
        <w:spacing w:after="0"/>
        <w:rPr>
          <w:sz w:val="20"/>
          <w:szCs w:val="20"/>
          <w:color w:val="auto"/>
        </w:rPr>
      </w:pPr>
      <w:r>
        <w:rPr>
          <w:rFonts w:ascii="Times New Roman" w:cs="Times New Roman" w:eastAsia="Times New Roman" w:hAnsi="Times New Roman"/>
          <w:sz w:val="14"/>
          <w:szCs w:val="14"/>
          <w:color w:val="auto"/>
        </w:rPr>
        <w:t>(NASDAQ Global Select Market)</w:t>
      </w:r>
    </w:p>
    <w:p>
      <w:pPr>
        <w:sectPr>
          <w:pgSz w:w="11900" w:h="16838" w:orient="portrait"/>
          <w:cols w:equalWidth="0" w:num="1">
            <w:col w:w="11240"/>
          </w:cols>
          <w:pgMar w:left="320" w:top="1204" w:right="339" w:bottom="1440" w:gutter="0" w:footer="0" w:header="0"/>
          <w:type w:val="continuous"/>
        </w:sectPr>
      </w:pPr>
    </w:p>
    <w:p>
      <w:pPr>
        <w:spacing w:after="0" w:line="370" w:lineRule="exact"/>
        <w:rPr>
          <w:sz w:val="24"/>
          <w:szCs w:val="24"/>
          <w:color w:val="auto"/>
        </w:rPr>
      </w:pPr>
    </w:p>
    <w:p>
      <w:pPr>
        <w:ind w:right="20"/>
        <w:spacing w:after="0" w:line="32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1" w:lineRule="exact"/>
        <w:rPr>
          <w:sz w:val="24"/>
          <w:szCs w:val="24"/>
          <w:color w:val="auto"/>
        </w:rPr>
      </w:pPr>
    </w:p>
    <w:p>
      <w:pPr>
        <w:jc w:val="right"/>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type w:val="continuous"/>
        </w:sectPr>
      </w:pPr>
    </w:p>
    <w:bookmarkStart w:id="1" w:name="page2"/>
    <w:bookmarkEnd w:id="1"/>
    <w:p>
      <w:pPr>
        <w:spacing w:after="0" w:line="25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0891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83"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On June 22, 2026, Fervo Energy Company (the “Company”) issued a press release announcing financial and operating results for the first quarter ended March 31, 2026 (the “earnings release”). A copy of the earnings release is furnished to the Securities and Exchange Commission (the “SEC”) as Exhibit 99.1 to this Current Report on Form 8-K.</w:t>
      </w:r>
    </w:p>
    <w:p>
      <w:pPr>
        <w:spacing w:after="0" w:line="210" w:lineRule="exact"/>
        <w:rPr>
          <w:sz w:val="20"/>
          <w:szCs w:val="20"/>
          <w:color w:val="auto"/>
        </w:rPr>
      </w:pPr>
    </w:p>
    <w:p>
      <w:pPr>
        <w:ind w:right="60" w:firstLine="648"/>
        <w:spacing w:after="0" w:line="297" w:lineRule="auto"/>
        <w:rPr>
          <w:sz w:val="20"/>
          <w:szCs w:val="20"/>
          <w:color w:val="auto"/>
        </w:rPr>
      </w:pPr>
      <w:r>
        <w:rPr>
          <w:rFonts w:ascii="Times New Roman" w:cs="Times New Roman" w:eastAsia="Times New Roman" w:hAnsi="Times New Roman"/>
          <w:sz w:val="18"/>
          <w:szCs w:val="18"/>
          <w:color w:val="auto"/>
        </w:rPr>
        <w:t>The information contained in this Item 2.02 and the earnings release shall be considered “furnished” and shall not be deemed “filed” for purposes of Section 18 of the Securities Exchange Act of 1934, as amended, or otherwise subject to the liabilities of that Section or Sections 11 and 12(a)(2) of the Securities Act of 1933, as amended, nor shall it be deemed incorporated by reference into any reports or filings with the SEC, whether made before or after the date hereof, except as expressly set forth by specific reference in such a filing.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right="60" w:firstLine="648"/>
        <w:spacing w:after="0" w:line="297" w:lineRule="auto"/>
        <w:rPr>
          <w:sz w:val="20"/>
          <w:szCs w:val="20"/>
          <w:color w:val="auto"/>
        </w:rPr>
      </w:pPr>
      <w:r>
        <w:rPr>
          <w:rFonts w:ascii="Times New Roman" w:cs="Times New Roman" w:eastAsia="Times New Roman" w:hAnsi="Times New Roman"/>
          <w:sz w:val="18"/>
          <w:szCs w:val="18"/>
          <w:color w:val="auto"/>
        </w:rPr>
        <w:t>The Company uses any of the following to comply with its disclosure obligations under Regulation FD: press releases, SEC filings, public conference calls, or the Company’s website. The Company routinely posts important information on its website (https://fervoenergy.com), including information that may be deemed to be material. The Company encourages investors and others interested in the Company to monitor these distribution channels for material disclosures. The information posted on the Company’s website is not incorporated by reference into this Current Report on Form 8-K or in any other report or document the Company files with the SEC.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6000" w:type="dxa"/>
            <w:vAlign w:val="bottom"/>
            <w:tcBorders>
              <w:bottom w:val="single" w:sz="8" w:color="auto"/>
            </w:tcBorders>
          </w:tcPr>
          <w:p>
            <w:pPr>
              <w:spacing w:after="0"/>
              <w:rPr>
                <w:sz w:val="2"/>
                <w:szCs w:val="2"/>
                <w:color w:val="auto"/>
              </w:rPr>
            </w:pPr>
          </w:p>
        </w:tc>
      </w:tr>
      <w:tr>
        <w:trPr>
          <w:trHeight w:val="183"/>
        </w:trPr>
        <w:tc>
          <w:tcPr>
            <w:tcW w:w="1380" w:type="dxa"/>
            <w:vAlign w:val="bottom"/>
            <w:shd w:val="clear" w:color="auto" w:fill="CCEEFF"/>
          </w:tcPr>
          <w:p>
            <w:pPr>
              <w:jc w:val="right"/>
              <w:ind w:right="436"/>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5"/>
                <w:szCs w:val="15"/>
                <w:color w:val="auto"/>
              </w:rPr>
            </w:pPr>
          </w:p>
        </w:tc>
        <w:tc>
          <w:tcPr>
            <w:tcW w:w="9760" w:type="dxa"/>
            <w:vAlign w:val="bottom"/>
            <w:gridSpan w:val="3"/>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Press Release of the Company, dated June 22, 2026.</w:t>
            </w:r>
          </w:p>
        </w:tc>
      </w:tr>
      <w:tr>
        <w:trPr>
          <w:trHeight w:val="20"/>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auto"/>
            </w:tcBorders>
            <w:shd w:val="clear" w:color="auto" w:fill="CCEEFF"/>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38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650"/>
        </w:trPr>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6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FERVO ENERGY COMPANY</w:t>
      </w:r>
    </w:p>
    <w:p>
      <w:pPr>
        <w:spacing w:after="0" w:line="23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June 22, 2026</w:t>
      </w:r>
    </w:p>
    <w:p>
      <w:pPr>
        <w:spacing w:after="0" w:line="27" w:lineRule="exact"/>
        <w:rPr>
          <w:sz w:val="20"/>
          <w:szCs w:val="20"/>
          <w:color w:val="auto"/>
        </w:rPr>
      </w:pPr>
    </w:p>
    <w:tbl>
      <w:tblPr>
        <w:tblLayout w:type="fixed"/>
        <w:tblInd w:w="6240" w:type="dxa"/>
        <w:tblCellMar>
          <w:top w:w="0" w:type="dxa"/>
          <w:left w:w="0" w:type="dxa"/>
          <w:bottom w:w="0" w:type="dxa"/>
          <w:right w:w="0" w:type="dxa"/>
        </w:tblCellMar>
      </w:tblPr>
      <w:tr>
        <w:trPr>
          <w:trHeight w:val="22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Ulrey</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Ulrey</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7260"/>
        <w:spacing w:after="0"/>
        <w:rPr>
          <w:sz w:val="20"/>
          <w:szCs w:val="20"/>
          <w:color w:val="auto"/>
        </w:rPr>
      </w:pPr>
      <w:r>
        <w:rPr>
          <w:rFonts w:ascii="Times New Roman" w:cs="Times New Roman" w:eastAsia="Times New Roman" w:hAnsi="Times New Roman"/>
          <w:sz w:val="18"/>
          <w:szCs w:val="18"/>
          <w:color w:val="171717"/>
        </w:rPr>
        <w:t>Fervo Energy Company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171717"/>
        </w:rPr>
        <w:t>811 Main St, 1700</w:t>
      </w:r>
    </w:p>
    <w:p>
      <w:pPr>
        <w:spacing w:after="0" w:line="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171717"/>
        </w:rPr>
        <w:t>Houston, TX 77002</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171717"/>
        </w:rPr>
        <w:t>Fervo Energy Reports First Quarter 2026 Results</w:t>
      </w:r>
    </w:p>
    <w:p>
      <w:pPr>
        <w:spacing w:after="0" w:line="200" w:lineRule="exact"/>
        <w:rPr>
          <w:sz w:val="20"/>
          <w:szCs w:val="20"/>
          <w:color w:val="auto"/>
        </w:rPr>
      </w:pPr>
    </w:p>
    <w:p>
      <w:pPr>
        <w:spacing w:after="0" w:line="258"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20"/>
          <w:szCs w:val="20"/>
          <w:color w:val="171717"/>
        </w:rPr>
        <w:t>Houston, TX - June 22, 2026 - Fervo Energy Company (“Fervo” or the “Company”) (NASDAQ: FRVO), a leading technology-enabled independent power producer of Enhanced Geothermal Systems (EGS), today reported financial and operational results for the first quarter ended March 31, 2026.</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2A3693"/>
        </w:rPr>
        <w:t>“This is the geothermal decade, and Fervo is leading the charge," said Tim Latimer, CEO and Co-founder</w:t>
      </w:r>
    </w:p>
    <w:p>
      <w:pPr>
        <w:spacing w:after="0" w:line="40" w:lineRule="exact"/>
        <w:rPr>
          <w:sz w:val="20"/>
          <w:szCs w:val="20"/>
          <w:color w:val="auto"/>
        </w:rPr>
      </w:pPr>
    </w:p>
    <w:p>
      <w:pPr>
        <w:jc w:val="center"/>
        <w:spacing w:after="0" w:line="280" w:lineRule="auto"/>
        <w:rPr>
          <w:sz w:val="20"/>
          <w:szCs w:val="20"/>
          <w:color w:val="auto"/>
        </w:rPr>
      </w:pPr>
      <w:r>
        <w:rPr>
          <w:rFonts w:ascii="Times New Roman" w:cs="Times New Roman" w:eastAsia="Times New Roman" w:hAnsi="Times New Roman"/>
          <w:sz w:val="20"/>
          <w:szCs w:val="20"/>
          <w:i w:val="1"/>
          <w:iCs w:val="1"/>
          <w:color w:val="2A3693"/>
        </w:rPr>
        <w:t>of Fervo. "2026 is already off to a transformative start. We completed the largest primary energy and power IPO in recent memory, raising $2.2 billion to accelerate our multi-gigawatt development pipeline and near-term execution at Cape Station, the world’s largest enhanced geothermal project, which is on track for first power in Q4 2026. With 658 megawatts of contracted power purchase agreements and a 3-gigawatt geothermal framework agreement with Google, Fervo is well positioned to deliver the clean, firm 24/7 power this country needs.”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71717"/>
        </w:rPr>
        <w:t>BUSINESS AND OPERATIONAL HIGHLIGHTS</w:t>
      </w:r>
    </w:p>
    <w:p>
      <w:pPr>
        <w:spacing w:after="0" w:line="274" w:lineRule="exact"/>
        <w:rPr>
          <w:sz w:val="20"/>
          <w:szCs w:val="20"/>
          <w:color w:val="auto"/>
        </w:rPr>
      </w:pPr>
    </w:p>
    <w:p>
      <w:pPr>
        <w:ind w:left="340" w:right="40" w:hanging="339"/>
        <w:spacing w:after="0" w:line="273" w:lineRule="auto"/>
        <w:tabs>
          <w:tab w:leader="none" w:pos="320" w:val="left"/>
        </w:tabs>
        <w:rPr>
          <w:sz w:val="20"/>
          <w:szCs w:val="20"/>
          <w:color w:val="auto"/>
        </w:rPr>
      </w:pPr>
      <w:r>
        <w:rPr>
          <w:rFonts w:ascii="Times New Roman" w:cs="Times New Roman" w:eastAsia="Times New Roman" w:hAnsi="Times New Roman"/>
          <w:sz w:val="20"/>
          <w:szCs w:val="20"/>
          <w:color w:val="171717"/>
        </w:rPr>
        <w:t>•</w:t>
        <w:tab/>
        <w:t xml:space="preserve">Successfully completed an initial public offering on Nasdaq on </w:t>
      </w:r>
      <w:r>
        <w:rPr>
          <w:rFonts w:ascii="Times New Roman" w:cs="Times New Roman" w:eastAsia="Times New Roman" w:hAnsi="Times New Roman"/>
          <w:sz w:val="20"/>
          <w:szCs w:val="20"/>
          <w:color w:val="000000"/>
        </w:rPr>
        <w:t>May 14, 2026</w:t>
      </w:r>
      <w:r>
        <w:rPr>
          <w:rFonts w:ascii="Times New Roman" w:cs="Times New Roman" w:eastAsia="Times New Roman" w:hAnsi="Times New Roman"/>
          <w:sz w:val="20"/>
          <w:szCs w:val="20"/>
          <w:color w:val="171717"/>
        </w:rPr>
        <w:t xml:space="preserve"> , issuing </w:t>
      </w:r>
      <w:r>
        <w:rPr>
          <w:rFonts w:ascii="Times New Roman" w:cs="Times New Roman" w:eastAsia="Times New Roman" w:hAnsi="Times New Roman"/>
          <w:sz w:val="20"/>
          <w:szCs w:val="20"/>
          <w:color w:val="000000"/>
        </w:rPr>
        <w:t>80.5</w:t>
      </w:r>
      <w:r>
        <w:rPr>
          <w:rFonts w:ascii="Times New Roman" w:cs="Times New Roman" w:eastAsia="Times New Roman" w:hAnsi="Times New Roman"/>
          <w:sz w:val="20"/>
          <w:szCs w:val="20"/>
          <w:color w:val="171717"/>
        </w:rPr>
        <w:t xml:space="preserve"> million shares of Class A common stock, including the full exercise of the underwriters’ over-allotment options, at a price of </w:t>
      </w:r>
      <w:r>
        <w:rPr>
          <w:rFonts w:ascii="Times New Roman" w:cs="Times New Roman" w:eastAsia="Times New Roman" w:hAnsi="Times New Roman"/>
          <w:sz w:val="20"/>
          <w:szCs w:val="20"/>
          <w:color w:val="000000"/>
        </w:rPr>
        <w:t xml:space="preserve">$27.00 </w:t>
      </w:r>
      <w:r>
        <w:rPr>
          <w:rFonts w:ascii="Times New Roman" w:cs="Times New Roman" w:eastAsia="Times New Roman" w:hAnsi="Times New Roman"/>
          <w:sz w:val="20"/>
          <w:szCs w:val="20"/>
          <w:color w:val="171717"/>
        </w:rPr>
        <w:t>per share and raising approximately $</w:t>
      </w:r>
      <w:r>
        <w:rPr>
          <w:rFonts w:ascii="Times New Roman" w:cs="Times New Roman" w:eastAsia="Times New Roman" w:hAnsi="Times New Roman"/>
          <w:sz w:val="20"/>
          <w:szCs w:val="20"/>
          <w:color w:val="000000"/>
        </w:rPr>
        <w:t xml:space="preserve">2.2 </w:t>
      </w:r>
      <w:r>
        <w:rPr>
          <w:rFonts w:ascii="Times New Roman" w:cs="Times New Roman" w:eastAsia="Times New Roman" w:hAnsi="Times New Roman"/>
          <w:sz w:val="20"/>
          <w:szCs w:val="20"/>
          <w:color w:val="171717"/>
        </w:rPr>
        <w:t>billion in gross proceeds.</w:t>
      </w:r>
    </w:p>
    <w:p>
      <w:pPr>
        <w:ind w:left="340" w:right="380" w:hanging="332"/>
        <w:spacing w:after="0" w:line="274" w:lineRule="auto"/>
        <w:tabs>
          <w:tab w:leader="none" w:pos="340" w:val="left"/>
        </w:tabs>
        <w:numPr>
          <w:ilvl w:val="0"/>
          <w:numId w:val="2"/>
        </w:numPr>
        <w:rPr>
          <w:rFonts w:ascii="Times New Roman" w:cs="Times New Roman" w:eastAsia="Times New Roman" w:hAnsi="Times New Roman"/>
          <w:sz w:val="20"/>
          <w:szCs w:val="20"/>
          <w:color w:val="171717"/>
        </w:rPr>
      </w:pPr>
      <w:r>
        <w:rPr>
          <w:rFonts w:ascii="Times New Roman" w:cs="Times New Roman" w:eastAsia="Times New Roman" w:hAnsi="Times New Roman"/>
          <w:sz w:val="20"/>
          <w:szCs w:val="20"/>
          <w:color w:val="171717"/>
        </w:rPr>
        <w:t>Executed a Geothermal Framework Agreement (GFA) with Google to support the development of up to 3 gigawatts of geothermal capacity through 2033.</w:t>
      </w:r>
    </w:p>
    <w:p>
      <w:pPr>
        <w:spacing w:after="0" w:line="1" w:lineRule="exact"/>
        <w:rPr>
          <w:rFonts w:ascii="Times New Roman" w:cs="Times New Roman" w:eastAsia="Times New Roman" w:hAnsi="Times New Roman"/>
          <w:sz w:val="20"/>
          <w:szCs w:val="20"/>
          <w:color w:val="171717"/>
        </w:rPr>
      </w:pPr>
    </w:p>
    <w:p>
      <w:pPr>
        <w:ind w:left="340" w:right="20" w:hanging="332"/>
        <w:spacing w:after="0" w:line="274" w:lineRule="auto"/>
        <w:tabs>
          <w:tab w:leader="none" w:pos="340" w:val="left"/>
        </w:tabs>
        <w:numPr>
          <w:ilvl w:val="0"/>
          <w:numId w:val="2"/>
        </w:numPr>
        <w:rPr>
          <w:rFonts w:ascii="Times New Roman" w:cs="Times New Roman" w:eastAsia="Times New Roman" w:hAnsi="Times New Roman"/>
          <w:sz w:val="20"/>
          <w:szCs w:val="20"/>
          <w:color w:val="171717"/>
        </w:rPr>
      </w:pPr>
      <w:r>
        <w:rPr>
          <w:rFonts w:ascii="Times New Roman" w:cs="Times New Roman" w:eastAsia="Times New Roman" w:hAnsi="Times New Roman"/>
          <w:sz w:val="20"/>
          <w:szCs w:val="20"/>
          <w:color w:val="171717"/>
        </w:rPr>
        <w:t>Advanced Cape Station Phase I, which is expected to deliver approximately 100 megawatts, with GeoBlock Unit 1 commissioning currently underway ahead of the planned Q4 2026 Commercial Operation Date (COD). GeoBlock Units 2 and 3 continue to progress toward mechanical completion as scheduled ahead of planned CODs in Q1 2027.</w:t>
      </w:r>
    </w:p>
    <w:p>
      <w:pPr>
        <w:spacing w:after="0" w:line="2" w:lineRule="exact"/>
        <w:rPr>
          <w:rFonts w:ascii="Times New Roman" w:cs="Times New Roman" w:eastAsia="Times New Roman" w:hAnsi="Times New Roman"/>
          <w:sz w:val="20"/>
          <w:szCs w:val="20"/>
          <w:color w:val="171717"/>
        </w:rPr>
      </w:pPr>
    </w:p>
    <w:p>
      <w:pPr>
        <w:ind w:left="340" w:right="160" w:hanging="332"/>
        <w:spacing w:after="0" w:line="276" w:lineRule="auto"/>
        <w:tabs>
          <w:tab w:leader="none" w:pos="340" w:val="left"/>
        </w:tabs>
        <w:numPr>
          <w:ilvl w:val="0"/>
          <w:numId w:val="2"/>
        </w:numPr>
        <w:rPr>
          <w:rFonts w:ascii="Times New Roman" w:cs="Times New Roman" w:eastAsia="Times New Roman" w:hAnsi="Times New Roman"/>
          <w:sz w:val="20"/>
          <w:szCs w:val="20"/>
          <w:color w:val="171717"/>
        </w:rPr>
      </w:pPr>
      <w:r>
        <w:rPr>
          <w:rFonts w:ascii="Times New Roman" w:cs="Times New Roman" w:eastAsia="Times New Roman" w:hAnsi="Times New Roman"/>
          <w:sz w:val="20"/>
          <w:szCs w:val="20"/>
          <w:color w:val="171717"/>
        </w:rPr>
        <w:t>Commenced construction of Cape Station Phase II in Q1 2026, which is expected to deliver approximately 400 megawatts. All long-lead equipment has been secured, and initial Phase II wells have been drilled as the Company progresses toward expected COD in 2028.</w:t>
      </w:r>
    </w:p>
    <w:p>
      <w:pPr>
        <w:spacing w:after="0" w:line="1" w:lineRule="exact"/>
        <w:rPr>
          <w:rFonts w:ascii="Times New Roman" w:cs="Times New Roman" w:eastAsia="Times New Roman" w:hAnsi="Times New Roman"/>
          <w:sz w:val="20"/>
          <w:szCs w:val="20"/>
          <w:color w:val="171717"/>
        </w:rPr>
      </w:pPr>
    </w:p>
    <w:p>
      <w:pPr>
        <w:jc w:val="both"/>
        <w:ind w:left="340" w:right="860" w:hanging="332"/>
        <w:spacing w:after="0" w:line="289" w:lineRule="auto"/>
        <w:tabs>
          <w:tab w:leader="none" w:pos="340" w:val="left"/>
        </w:tabs>
        <w:numPr>
          <w:ilvl w:val="0"/>
          <w:numId w:val="2"/>
        </w:numPr>
        <w:rPr>
          <w:rFonts w:ascii="Times New Roman" w:cs="Times New Roman" w:eastAsia="Times New Roman" w:hAnsi="Times New Roman"/>
          <w:sz w:val="19"/>
          <w:szCs w:val="19"/>
          <w:color w:val="171717"/>
        </w:rPr>
      </w:pPr>
      <w:r>
        <w:rPr>
          <w:rFonts w:ascii="Times New Roman" w:cs="Times New Roman" w:eastAsia="Times New Roman" w:hAnsi="Times New Roman"/>
          <w:sz w:val="19"/>
          <w:szCs w:val="19"/>
          <w:color w:val="171717"/>
        </w:rPr>
        <w:t>Validated premium resource quality at Blanford, a Utah GeoCluster north of Cape Station, with the Cottonwood observation well reaching 555°F at 11,200 feet depth, the hottest well in Fervo history.</w:t>
      </w:r>
    </w:p>
    <w:p>
      <w:pPr>
        <w:ind w:left="340" w:right="640" w:hanging="332"/>
        <w:spacing w:after="0" w:line="297" w:lineRule="auto"/>
        <w:tabs>
          <w:tab w:leader="none" w:pos="340" w:val="left"/>
        </w:tabs>
        <w:numPr>
          <w:ilvl w:val="0"/>
          <w:numId w:val="2"/>
        </w:numPr>
        <w:rPr>
          <w:rFonts w:ascii="Times New Roman" w:cs="Times New Roman" w:eastAsia="Times New Roman" w:hAnsi="Times New Roman"/>
          <w:sz w:val="20"/>
          <w:szCs w:val="20"/>
          <w:color w:val="171717"/>
        </w:rPr>
      </w:pPr>
      <w:r>
        <w:rPr>
          <w:rFonts w:ascii="Times New Roman" w:cs="Times New Roman" w:eastAsia="Times New Roman" w:hAnsi="Times New Roman"/>
          <w:sz w:val="20"/>
          <w:szCs w:val="20"/>
          <w:color w:val="171717"/>
        </w:rPr>
        <w:t>Secured strategic supply partnerships with Turboden, ABB, and Vallourec to enable scaled geothermal deployment.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HIGHLIGHTS</w:t>
      </w:r>
    </w:p>
    <w:p>
      <w:pPr>
        <w:spacing w:after="0" w:line="193" w:lineRule="exact"/>
        <w:rPr>
          <w:sz w:val="20"/>
          <w:szCs w:val="20"/>
          <w:color w:val="auto"/>
        </w:rPr>
      </w:pPr>
    </w:p>
    <w:p>
      <w:pPr>
        <w:ind w:left="340" w:right="720" w:hanging="332"/>
        <w:spacing w:after="0" w:line="311" w:lineRule="auto"/>
        <w:tabs>
          <w:tab w:leader="none" w:pos="3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Secured $421.4 million in non-recourse project financing for Cape Phase I, supporting the continued commercialization and bankability of Fervo’s enhanced geothermal systems.</w:t>
      </w:r>
    </w:p>
    <w:p>
      <w:pPr>
        <w:sectPr>
          <w:pgSz w:w="11900" w:h="17005" w:orient="portrait"/>
          <w:cols w:equalWidth="0" w:num="1">
            <w:col w:w="9080"/>
          </w:cols>
          <w:pgMar w:left="1400" w:top="1440" w:right="1419" w:bottom="0" w:gutter="0" w:footer="0" w:header="0"/>
        </w:sectPr>
      </w:pPr>
    </w:p>
    <w:bookmarkStart w:id="5" w:name="page6"/>
    <w:bookmarkEnd w:id="5"/>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40" w:hanging="332"/>
        <w:spacing w:after="0" w:line="275" w:lineRule="auto"/>
        <w:tabs>
          <w:tab w:leader="none" w:pos="3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Entered into an agreement with Liberty Mutual Insurance Company to monetize tax credits from Cape Station Phase I, advancing capital deployment strategy for utility-scale geothermal development.</w:t>
      </w:r>
    </w:p>
    <w:p>
      <w:pPr>
        <w:spacing w:after="0" w:line="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Reported Q1 2026 operating loss of $20.1 million and net loss of $31.8 million.</w:t>
      </w:r>
    </w:p>
    <w:p>
      <w:pPr>
        <w:spacing w:after="0" w:line="38" w:lineRule="exact"/>
        <w:rPr>
          <w:rFonts w:ascii="Times New Roman" w:cs="Times New Roman" w:eastAsia="Times New Roman" w:hAnsi="Times New Roman"/>
          <w:sz w:val="20"/>
          <w:szCs w:val="20"/>
          <w:color w:val="auto"/>
        </w:rPr>
      </w:pPr>
    </w:p>
    <w:p>
      <w:pPr>
        <w:ind w:left="340" w:right="60" w:hanging="332"/>
        <w:spacing w:after="0" w:line="274" w:lineRule="auto"/>
        <w:tabs>
          <w:tab w:leader="none" w:pos="3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Reported Q1 2026 capital expenditures of $172.8 million, compared to $105.4 million in the first quarter of 2025, reflecting continued investment in Cape Station development and construction activities.</w:t>
      </w:r>
    </w:p>
    <w:p>
      <w:pPr>
        <w:spacing w:after="0" w:line="1" w:lineRule="exact"/>
        <w:rPr>
          <w:sz w:val="20"/>
          <w:szCs w:val="20"/>
          <w:color w:val="auto"/>
        </w:rPr>
      </w:pPr>
    </w:p>
    <w:p>
      <w:pPr>
        <w:ind w:left="340" w:right="160" w:hanging="339"/>
        <w:spacing w:after="0" w:line="311" w:lineRule="auto"/>
        <w:tabs>
          <w:tab w:leader="none" w:pos="320" w:val="left"/>
        </w:tabs>
        <w:rPr>
          <w:sz w:val="20"/>
          <w:szCs w:val="20"/>
          <w:color w:val="auto"/>
        </w:rPr>
      </w:pPr>
      <w:r>
        <w:rPr>
          <w:rFonts w:ascii="Times New Roman" w:cs="Times New Roman" w:eastAsia="Times New Roman" w:hAnsi="Times New Roman"/>
          <w:sz w:val="20"/>
          <w:szCs w:val="20"/>
          <w:color w:val="auto"/>
        </w:rPr>
        <w:t>•</w:t>
        <w:tab/>
        <w:t>Expects total capital expenditures of approximately $1.2 billion from Q2 2026 through Q1 2027, primarily allocated to Cape Station Phase I and Phase II construction and the development of other GeoClusters.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71717"/>
        </w:rPr>
        <w:t>BUSINESS UPDATES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71717"/>
        </w:rPr>
        <w:t>Commercial</w:t>
      </w:r>
    </w:p>
    <w:p>
      <w:pPr>
        <w:spacing w:after="0" w:line="247"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9"/>
          <w:szCs w:val="19"/>
          <w:color w:val="171717"/>
        </w:rPr>
        <w:t>In March 2026, Fervo Energy executed a Geothermal Framework Agreement (GFA) with Google that establishes a development framework for up to 3 gigawatts of geothermal capacity through 2033, including 1 gigawatt of proposed projects in the first two years. The GFA streamlines future offtake through a defined contract structure</w:t>
      </w:r>
    </w:p>
    <w:p>
      <w:pPr>
        <w:spacing w:after="0" w:line="2"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20"/>
          <w:szCs w:val="20"/>
          <w:color w:val="171717"/>
        </w:rPr>
        <w:t xml:space="preserve">and priority geographies, while creating a path to accelerate near-term development of </w:t>
      </w:r>
      <w:r>
        <w:rPr>
          <w:rFonts w:ascii="Times New Roman" w:cs="Times New Roman" w:eastAsia="Times New Roman" w:hAnsi="Times New Roman"/>
          <w:sz w:val="20"/>
          <w:szCs w:val="20"/>
          <w:color w:val="000000"/>
        </w:rPr>
        <w:t>up to 1 gigawatt. The</w:t>
      </w:r>
      <w:r>
        <w:rPr>
          <w:rFonts w:ascii="Times New Roman" w:cs="Times New Roman" w:eastAsia="Times New Roman" w:hAnsi="Times New Roman"/>
          <w:sz w:val="20"/>
          <w:szCs w:val="20"/>
          <w:color w:val="171717"/>
        </w:rPr>
        <w:t xml:space="preserve"> </w:t>
      </w:r>
      <w:r>
        <w:rPr>
          <w:rFonts w:ascii="Times New Roman" w:cs="Times New Roman" w:eastAsia="Times New Roman" w:hAnsi="Times New Roman"/>
          <w:sz w:val="20"/>
          <w:szCs w:val="20"/>
          <w:color w:val="000000"/>
        </w:rPr>
        <w:t>agreement also establishes a repeatable commercial model that Fervo believes can support future agreements with other large power buyers.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Construction</w:t>
      </w:r>
    </w:p>
    <w:p>
      <w:pPr>
        <w:spacing w:after="0" w:line="260"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color w:val="auto"/>
        </w:rPr>
        <w:t>Cape Station Phase I, Fervo’s first greenfield development, is an approximately 100-megawatt installation comprising three 33-megawatt GeoBlocks. Fervo has drilled, stimulated, and completed all initial Phase I wells, concluding the phase’s initial subsurface program, and achieved mechanical completion at its first GeoBlock in the first quarter of 2026. During the quarter, the Company completed its largest zipper completion operation to date, during which the Company simultaneously stimulated six wells on a single pad, providing efficiency improvements that increased the number of stages stimulated per day while continuing to lower the cost per foot drilled and completed across Cape Phase I. With key power facility equipment installed and commissioning underway, Fervo remains on track for first power in Q4 2026, with GeoBlocks 2 and 3 expected to follow in Q1 2027.</w:t>
      </w:r>
    </w:p>
    <w:p>
      <w:pPr>
        <w:spacing w:after="0" w:line="18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0"/>
          <w:szCs w:val="20"/>
          <w:color w:val="auto"/>
        </w:rPr>
        <w:t>Cape Station Phase II, a 400-megawatt expansion comprising eight 50-megawatt GeoBlocks, represents Fervo’s go-forward design and commenced construction in the first quarter of 2026. Two Helmerich &amp; Payne rigs are actively drilling, and all four initial Fervo Generation 3.0 wells, the Company’s upsized 7,500-foot lateral design, have been drilled on the first well pad and are ready for completion. Erection of power generation facilities has also begun, with structural steel being assembled to support the air-cooled condenser units for GeoBlock 4, the first GeoBlock in the Cape Phase II program. Fervo continues to progress toward expected commercial operation in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Supply Chain</w:t>
      </w:r>
    </w:p>
    <w:p>
      <w:pPr>
        <w:spacing w:after="0" w:line="260"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20"/>
          <w:szCs w:val="20"/>
          <w:color w:val="auto"/>
        </w:rPr>
        <w:t>In the first half of this year, Fervo strengthened its supply chain through strategic partnerships with three key suppliers, Turboden, ABB, and Vallourec, spanning power generation, electrical equipment, and well construction.</w:t>
      </w:r>
    </w:p>
    <w:p>
      <w:pPr>
        <w:spacing w:after="0" w:line="168" w:lineRule="exact"/>
        <w:rPr>
          <w:sz w:val="20"/>
          <w:szCs w:val="20"/>
          <w:color w:val="auto"/>
        </w:rPr>
      </w:pPr>
    </w:p>
    <w:p>
      <w:pPr>
        <w:ind w:right="180"/>
        <w:spacing w:after="0" w:line="299" w:lineRule="auto"/>
        <w:rPr>
          <w:sz w:val="20"/>
          <w:szCs w:val="20"/>
          <w:color w:val="auto"/>
        </w:rPr>
      </w:pPr>
      <w:r>
        <w:rPr>
          <w:rFonts w:ascii="Times New Roman" w:cs="Times New Roman" w:eastAsia="Times New Roman" w:hAnsi="Times New Roman"/>
          <w:sz w:val="19"/>
          <w:szCs w:val="19"/>
          <w:color w:val="auto"/>
        </w:rPr>
        <w:t>Fervo and Turboden, a subsidiary of Mitsubishi Heavy Industries, have entered a turbine supply agreement covering up to 35 Organic Rankine Cycle units that together represent 1,750 megawatts of total power capacity. The Company also entered into a strategic agreement with ABB to provide advanced motor control and electrification solutions for Cape Station, which is expected to help mitigate long lead-time risks that competing energy technologies increasingly confront. Finally, on well construction, the five-year supply agreement with Vallourec is expected to provide Fervo with a sufficient base of domestically-manufactured tubulars needed for</w:t>
      </w:r>
    </w:p>
    <w:p>
      <w:pPr>
        <w:sectPr>
          <w:pgSz w:w="11900" w:h="16962" w:orient="portrait"/>
          <w:cols w:equalWidth="0" w:num="1">
            <w:col w:w="9060"/>
          </w:cols>
          <w:pgMar w:left="1400" w:top="157" w:right="1439" w:bottom="0" w:gutter="0" w:footer="0" w:header="0"/>
        </w:sectPr>
      </w:pPr>
    </w:p>
    <w:bookmarkStart w:id="6" w:name="page7"/>
    <w:bookmarkEnd w:id="6"/>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scaled subsurface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-139700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71717"/>
        </w:rPr>
        <w:t>Development Pipeline</w:t>
      </w:r>
    </w:p>
    <w:p>
      <w:pPr>
        <w:spacing w:after="0" w:line="24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20"/>
          <w:szCs w:val="20"/>
          <w:color w:val="171717"/>
        </w:rPr>
        <w:t>Fervo also progressed an additional GeoCluster area in its development pipeline by successfully drilling its first observation well at Blanford, Utah. The Cottonwood observation well reached 555°F at a depth of 11,200 feet, making it the hottest well in the Company's history and validating premium resource quality at a key development prospect.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71717"/>
        </w:rPr>
        <w:t>Financing</w:t>
      </w:r>
    </w:p>
    <w:p>
      <w:pPr>
        <w:spacing w:after="0" w:line="2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171717"/>
        </w:rPr>
        <w:t xml:space="preserve">Subsequent to quarter-end, in May 2026, Fervo completed its initial public offering and listed on Nasdaq, issuing </w:t>
      </w:r>
      <w:r>
        <w:rPr>
          <w:rFonts w:ascii="Times New Roman" w:cs="Times New Roman" w:eastAsia="Times New Roman" w:hAnsi="Times New Roman"/>
          <w:sz w:val="20"/>
          <w:szCs w:val="20"/>
          <w:color w:val="000000"/>
        </w:rPr>
        <w:t xml:space="preserve">80.5 </w:t>
      </w:r>
      <w:r>
        <w:rPr>
          <w:rFonts w:ascii="Times New Roman" w:cs="Times New Roman" w:eastAsia="Times New Roman" w:hAnsi="Times New Roman"/>
          <w:sz w:val="20"/>
          <w:szCs w:val="20"/>
          <w:color w:val="171717"/>
        </w:rPr>
        <w:t>million shares of Class A common stock at</w:t>
      </w:r>
      <w:r>
        <w:rPr>
          <w:rFonts w:ascii="Times New Roman" w:cs="Times New Roman" w:eastAsia="Times New Roman" w:hAnsi="Times New Roman"/>
          <w:sz w:val="20"/>
          <w:szCs w:val="20"/>
          <w:color w:val="000000"/>
        </w:rPr>
        <w:t xml:space="preserve"> $27.00 </w:t>
      </w:r>
      <w:r>
        <w:rPr>
          <w:rFonts w:ascii="Times New Roman" w:cs="Times New Roman" w:eastAsia="Times New Roman" w:hAnsi="Times New Roman"/>
          <w:sz w:val="20"/>
          <w:szCs w:val="20"/>
          <w:color w:val="171717"/>
        </w:rPr>
        <w:t>per share and generating gross proceeds of $</w:t>
      </w:r>
      <w:r>
        <w:rPr>
          <w:rFonts w:ascii="Times New Roman" w:cs="Times New Roman" w:eastAsia="Times New Roman" w:hAnsi="Times New Roman"/>
          <w:sz w:val="20"/>
          <w:szCs w:val="20"/>
          <w:color w:val="000000"/>
        </w:rPr>
        <w:t xml:space="preserve"> 2.2 </w:t>
      </w:r>
      <w:r>
        <w:rPr>
          <w:rFonts w:ascii="Times New Roman" w:cs="Times New Roman" w:eastAsia="Times New Roman" w:hAnsi="Times New Roman"/>
          <w:sz w:val="20"/>
          <w:szCs w:val="20"/>
          <w:color w:val="171717"/>
        </w:rPr>
        <w:t>billion,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171717"/>
        </w:rPr>
        <w:t>including the full exercise of the underwriters' over-allotment option. The offering was significantly upsized and priced above the revised range, reflecting strong investor demand.</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171717"/>
        </w:rPr>
        <w:t>The IPO provides Fervo with an opportunity to accelerate its strategic priorities. Fervo intends to assess the deployment of incremental capital across three areas: accelerating its commercial pipeline through 2030, investing in high-return R&amp;D to drive down installed capital expenditures toward $3,000 per kilowatt, and positioning the Company for growth beyond 2030.</w:t>
      </w:r>
    </w:p>
    <w:p>
      <w:pPr>
        <w:spacing w:after="0" w:line="18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171717"/>
        </w:rPr>
        <w:t xml:space="preserve">Fervo also closed </w:t>
      </w:r>
      <w:r>
        <w:rPr>
          <w:rFonts w:ascii="Times New Roman" w:cs="Times New Roman" w:eastAsia="Times New Roman" w:hAnsi="Times New Roman"/>
          <w:sz w:val="20"/>
          <w:szCs w:val="20"/>
          <w:color w:val="000000"/>
        </w:rPr>
        <w:t>$421.4</w:t>
      </w:r>
      <w:r>
        <w:rPr>
          <w:rFonts w:ascii="Times New Roman" w:cs="Times New Roman" w:eastAsia="Times New Roman" w:hAnsi="Times New Roman"/>
          <w:sz w:val="20"/>
          <w:szCs w:val="20"/>
          <w:color w:val="171717"/>
        </w:rPr>
        <w:t xml:space="preserve"> million of non-recourse project debt for Cape Station Phase I. The financing was led by Barclays, BBVA, HSBC, MUFG, and Société Générale as lead partners, with RBC, J.P. Morgan, and Sumitomo Mitsui Trust Bank as additional participants. Fervo believes this represents the first non-recourse project financing for an enhanced geothermal systems project globally, structured on the same terms as conventional power, renewable energy, and infrastructure project finance. The facility is secured solely by Cape Station Phase I assets and cash flows and does not sit on Fervo's corporate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71717"/>
        </w:rPr>
        <w:t>CONFERENCE CALL</w:t>
      </w:r>
    </w:p>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Fervo will host a conference call to discuss its first quarter 2026 business, operational and financial highlights at 10:00 a.m. ET (9:00 a.m. CT) today, June 22, 2026. A live webcast of the conference call will be available in the “Events” section of the Company’s investor relations website at ir.fervoenergy.com. To participate in Q&amp;A on the call, register here to receive the dial-in information and a unique PIN. A replay of the call will be available shortly after the conclusion of the live webcast.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FERVO</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Fervo Energy (NASDAQ: FRVO) is a modern power company built around one of the market’s most important</w:t>
      </w:r>
    </w:p>
    <w:p>
      <w:pPr>
        <w:spacing w:after="0" w:line="2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0"/>
          <w:szCs w:val="20"/>
          <w:color w:val="auto"/>
        </w:rPr>
        <w:t>needs: new supply of clean, firm 24/7 power. Through the large-scale deployment of enhanced geothermal systems, Fervo has established a repeatable, industrial approach to building utility-scale power. The company is transforming geothermal into a clean, reliable, cost-competitive solution designed to meet rising demand from AI hyperscalers, utilities, and a more electricity-intensive economy. For more information, visit www.fervoenergy.com.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71717"/>
        </w:rPr>
        <w:t>FORWARD-LOOKING STATEMENTS</w:t>
      </w:r>
    </w:p>
    <w:p>
      <w:pPr>
        <w:spacing w:after="0" w:line="260" w:lineRule="exact"/>
        <w:rPr>
          <w:sz w:val="20"/>
          <w:szCs w:val="20"/>
          <w:color w:val="auto"/>
        </w:rPr>
      </w:pPr>
    </w:p>
    <w:p>
      <w:pPr>
        <w:ind w:right="40"/>
        <w:spacing w:after="0" w:line="323" w:lineRule="auto"/>
        <w:rPr>
          <w:sz w:val="20"/>
          <w:szCs w:val="20"/>
          <w:color w:val="auto"/>
        </w:rPr>
      </w:pPr>
      <w:r>
        <w:rPr>
          <w:rFonts w:ascii="Times New Roman" w:cs="Times New Roman" w:eastAsia="Times New Roman" w:hAnsi="Times New Roman"/>
          <w:sz w:val="19"/>
          <w:szCs w:val="19"/>
          <w:color w:val="171717"/>
        </w:rPr>
        <w:t>This press release contains “forward-looking statements” within the meaning of Section 27A of the Securities Act and Section 21E of the Exchange Act, which involve risks, uncertainties, and assumptions. All statements, other</w:t>
      </w:r>
    </w:p>
    <w:p>
      <w:pPr>
        <w:sectPr>
          <w:pgSz w:w="11900" w:h="17038" w:orient="portrait"/>
          <w:cols w:equalWidth="0" w:num="1">
            <w:col w:w="9060"/>
          </w:cols>
          <w:pgMar w:left="1400" w:top="130" w:right="1439" w:bottom="0" w:gutter="0" w:footer="0" w:header="0"/>
        </w:sectPr>
      </w:pPr>
    </w:p>
    <w:bookmarkStart w:id="7" w:name="page8"/>
    <w:bookmarkEnd w:id="7"/>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right="59"/>
        <w:spacing w:after="0" w:line="294" w:lineRule="auto"/>
        <w:rPr>
          <w:sz w:val="20"/>
          <w:szCs w:val="20"/>
          <w:color w:val="auto"/>
        </w:rPr>
      </w:pPr>
      <w:r>
        <w:rPr>
          <w:rFonts w:ascii="Times New Roman" w:cs="Times New Roman" w:eastAsia="Times New Roman" w:hAnsi="Times New Roman"/>
          <w:sz w:val="19"/>
          <w:szCs w:val="19"/>
          <w:color w:val="171717"/>
        </w:rPr>
        <w:t>than statements of historical fact, are forward-looking statements. When used in this press release, the words “aim,” “anticipate,” “believe,” “continue,” “could,” “estimate,” “expect,” “forecast,” “future,” “guidance,” “intend,” “may,” “model,” “outlook,” “plan,” “positioned,” “potential,” “predict,” “project,” “seek,” “should,” “target,” “will,” “would,” and similar expressions (including the negative of such terms) are intended to identify forward-looking statements, although not all forward-looking statements contain such identifying words. Although Fervo believes that the expectations and assumptions reflected in its forward-looking statements are reasonable as and when made, they involve risks and uncertainties that are difficult to predict and, in many cases, beyond Fervo’s control. Accordingly, forward-looking statements are not guarantees of future performance, and Fervo’s actual outcomes could differ materially from what Fervo has expressed in its forward-looking statements.</w:t>
      </w:r>
    </w:p>
    <w:p>
      <w:pPr>
        <w:spacing w:after="0" w:line="183" w:lineRule="exact"/>
        <w:rPr>
          <w:sz w:val="20"/>
          <w:szCs w:val="20"/>
          <w:color w:val="auto"/>
        </w:rPr>
      </w:pPr>
    </w:p>
    <w:p>
      <w:pPr>
        <w:ind w:right="19"/>
        <w:spacing w:after="0" w:line="291" w:lineRule="auto"/>
        <w:rPr>
          <w:sz w:val="20"/>
          <w:szCs w:val="20"/>
          <w:color w:val="auto"/>
        </w:rPr>
      </w:pPr>
      <w:r>
        <w:rPr>
          <w:rFonts w:ascii="Times New Roman" w:cs="Times New Roman" w:eastAsia="Times New Roman" w:hAnsi="Times New Roman"/>
          <w:sz w:val="19"/>
          <w:szCs w:val="19"/>
          <w:color w:val="171717"/>
        </w:rPr>
        <w:t>Factors that could cause the outcomes to differ materially include (but are not limited to) the following: risks related to expanding our geothermal operations and accessing new markets; challenges in maintaining compliance with extensive environmental regulations and permitting requirements; uncertainties in forecasting future operational results and growth due to economic conditions and market demand; compliance with environmental regulations and climate change initiatives impacting operational costs; inherent risks in the geothermal industry, including potential operational disruptions and associated liabilities; the influence of consumer preferences, government policies, and competition on the demand for geothermal energy; risks associated with fluctuations in energy prices and material costs; dependence on a complex supply chain and successful maintenance of our geothermal infrastructure; financial performance influenced by fluctuations in interest rates, capital availability, and other market conditions; capacity actually constructed or for which we enter power purchase agreements under non-binding agreements, like the GFA; exposure to legal proceedings and claims arising from our business operations; protecting our brand reputation and facing potential negative public perception; negative public perception and political opposition impacting our ability to secure regulatory approvals and market acceptance; the successful and timely execution of our growth strategy, with risks of delays or failures; reliance on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9"/>
        <w:spacing w:after="0" w:line="282" w:lineRule="auto"/>
        <w:rPr>
          <w:sz w:val="20"/>
          <w:szCs w:val="20"/>
          <w:color w:val="auto"/>
        </w:rPr>
      </w:pPr>
      <w:r>
        <w:rPr>
          <w:rFonts w:ascii="Times New Roman" w:cs="Times New Roman" w:eastAsia="Times New Roman" w:hAnsi="Times New Roman"/>
          <w:sz w:val="20"/>
          <w:szCs w:val="20"/>
          <w:color w:val="171717"/>
        </w:rPr>
        <w:t>personnel and the potential impact of labor costs and workforce challenges; heavy reliance on technology systems and potential cybersecurity threats; global economic and political conditions affecting our operations, supply chain, and customer demand; the risk that our estimates of capacity potential and heat initially in place are inaccurate or that we are unable to produce quantities of electrical energy commensurate with such estimates; and other risks and uncertainties, including those set forth under “Risk Factors” in Fervo’s Registration Statement on Form S-1/A, filed with the Securities and Exchange Commission on May 11, 2026.</w:t>
      </w:r>
    </w:p>
    <w:p>
      <w:pPr>
        <w:spacing w:after="0" w:line="174" w:lineRule="exact"/>
        <w:rPr>
          <w:sz w:val="20"/>
          <w:szCs w:val="20"/>
          <w:color w:val="auto"/>
        </w:rPr>
      </w:pPr>
    </w:p>
    <w:p>
      <w:pPr>
        <w:ind w:right="19"/>
        <w:spacing w:after="0" w:line="279" w:lineRule="auto"/>
        <w:rPr>
          <w:sz w:val="20"/>
          <w:szCs w:val="20"/>
          <w:color w:val="auto"/>
        </w:rPr>
      </w:pPr>
      <w:r>
        <w:rPr>
          <w:rFonts w:ascii="Times New Roman" w:cs="Times New Roman" w:eastAsia="Times New Roman" w:hAnsi="Times New Roman"/>
          <w:sz w:val="20"/>
          <w:szCs w:val="20"/>
          <w:color w:val="171717"/>
        </w:rPr>
        <w:t>In light of these factors, the events anticipated by Fervo’s forward-looking statements may not occur at the time anticipated or at all. Moreover, Fervo operates in a very competitive and rapidly changing environment, and new risks emerge from time to time. Fervo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All forward-looking statements speak only as of the date of this press release or, if earlier, as of the date they were made. Fervo does not intend to, and disclaims any obligation to, update or revise any forward-looking statements unless required by applicable law.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 (UNAUDITED)</w:t>
      </w:r>
    </w:p>
    <w:p>
      <w:pPr>
        <w:sectPr>
          <w:pgSz w:w="11900" w:h="16877" w:orient="portrait"/>
          <w:cols w:equalWidth="0" w:num="1">
            <w:col w:w="9059"/>
          </w:cols>
          <w:pgMar w:left="1400" w:top="19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18"/>
          <w:szCs w:val="18"/>
          <w:color w:val="B4B4B4"/>
        </w:rPr>
        <w:t>...................................................................................................................</w:t>
      </w:r>
      <w:r>
        <w:rPr>
          <w:rFonts w:ascii="Times New Roman" w:cs="Times New Roman" w:eastAsia="Times New Roman" w:hAnsi="Times New Roman"/>
          <w:sz w:val="18"/>
          <w:szCs w:val="18"/>
          <w:color w:val="auto"/>
        </w:rPr>
        <w:t xml:space="preserve"> $</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Costs and expenses: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Operation and maintenance </w:t>
      </w:r>
      <w:r>
        <w:rPr>
          <w:rFonts w:ascii="Times New Roman" w:cs="Times New Roman" w:eastAsia="Times New Roman" w:hAnsi="Times New Roman"/>
          <w:sz w:val="18"/>
          <w:szCs w:val="18"/>
          <w:color w:val="B4B4B4"/>
        </w:rPr>
        <w:t>....................................................................................</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Research and development income, net </w:t>
      </w:r>
      <w:r>
        <w:rPr>
          <w:rFonts w:ascii="Times New Roman" w:cs="Times New Roman" w:eastAsia="Times New Roman" w:hAnsi="Times New Roman"/>
          <w:sz w:val="18"/>
          <w:szCs w:val="18"/>
          <w:color w:val="B4B4B4"/>
        </w:rPr>
        <w:t>..................................................................</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18"/>
          <w:szCs w:val="18"/>
          <w:color w:val="B4B4B4"/>
        </w:rPr>
        <w:t>........................................................................</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Operating lease expense </w:t>
      </w:r>
      <w:r>
        <w:rPr>
          <w:rFonts w:ascii="Times New Roman" w:cs="Times New Roman" w:eastAsia="Times New Roman" w:hAnsi="Times New Roman"/>
          <w:sz w:val="18"/>
          <w:szCs w:val="18"/>
          <w:color w:val="B4B4B4"/>
        </w:rPr>
        <w:t>..........................................................................................</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8"/>
          <w:szCs w:val="18"/>
          <w:color w:val="B4B4B4"/>
        </w:rPr>
        <w:t>................................................................................</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 xml:space="preserve">Operating loss </w:t>
      </w:r>
      <w:r>
        <w:rPr>
          <w:rFonts w:ascii="Times New Roman" w:cs="Times New Roman" w:eastAsia="Times New Roman" w:hAnsi="Times New Roman"/>
          <w:sz w:val="18"/>
          <w:szCs w:val="18"/>
          <w:color w:val="B4B4B4"/>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61" w:lineRule="exact"/>
        <w:rPr>
          <w:sz w:val="20"/>
          <w:szCs w:val="20"/>
          <w:color w:val="auto"/>
        </w:rPr>
      </w:pPr>
    </w:p>
    <w:p>
      <w:pPr>
        <w:ind w:left="480"/>
        <w:spacing w:after="0"/>
        <w:tabs>
          <w:tab w:leader="none" w:pos="800" w:val="left"/>
          <w:tab w:leader="none" w:pos="1680" w:val="left"/>
        </w:tabs>
        <w:rPr>
          <w:sz w:val="20"/>
          <w:szCs w:val="20"/>
          <w:color w:val="auto"/>
        </w:rPr>
      </w:pPr>
      <w:r>
        <w:rPr>
          <w:rFonts w:ascii="Times New Roman" w:cs="Times New Roman" w:eastAsia="Times New Roman" w:hAnsi="Times New Roman"/>
          <w:sz w:val="18"/>
          <w:szCs w:val="18"/>
          <w:color w:val="auto"/>
        </w:rPr>
        <w:t>61</w:t>
        <w:tab/>
        <w:t>$</w:t>
      </w:r>
      <w:r>
        <w:rPr>
          <w:sz w:val="20"/>
          <w:szCs w:val="20"/>
          <w:color w:val="auto"/>
        </w:rPr>
        <w:tab/>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600" w:hanging="1220"/>
        <w:spacing w:after="0"/>
        <w:tabs>
          <w:tab w:leader="none" w:pos="1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w:t>
      </w:r>
    </w:p>
    <w:p>
      <w:pPr>
        <w:spacing w:after="0" w:line="49" w:lineRule="exact"/>
        <w:rPr>
          <w:rFonts w:ascii="Times New Roman" w:cs="Times New Roman" w:eastAsia="Times New Roman" w:hAnsi="Times New Roman"/>
          <w:sz w:val="18"/>
          <w:szCs w:val="18"/>
          <w:color w:val="auto"/>
        </w:rPr>
      </w:pPr>
    </w:p>
    <w:p>
      <w:pPr>
        <w:ind w:left="1640" w:hanging="1230"/>
        <w:spacing w:after="0"/>
        <w:tabs>
          <w:tab w:leader="none" w:pos="1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49"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16,990</w:t>
      </w:r>
      <w:r>
        <w:rPr>
          <w:rFonts w:ascii="Times New Roman" w:cs="Times New Roman" w:eastAsia="Times New Roman" w:hAnsi="Times New Roman"/>
          <w:sz w:val="17"/>
          <w:szCs w:val="17"/>
          <w:color w:val="auto"/>
        </w:rPr>
        <w:t>7,679</w:t>
      </w:r>
    </w:p>
    <w:p>
      <w:pPr>
        <w:spacing w:after="0" w:line="50" w:lineRule="exact"/>
        <w:rPr>
          <w:sz w:val="20"/>
          <w:szCs w:val="20"/>
          <w:color w:val="auto"/>
        </w:rPr>
      </w:pPr>
    </w:p>
    <w:p>
      <w:pPr>
        <w:ind w:left="240"/>
        <w:spacing w:after="0"/>
        <w:tabs>
          <w:tab w:leader="none" w:pos="1460" w:val="left"/>
        </w:tabs>
        <w:rPr>
          <w:sz w:val="20"/>
          <w:szCs w:val="20"/>
          <w:color w:val="auto"/>
        </w:rPr>
      </w:pPr>
      <w:r>
        <w:rPr>
          <w:rFonts w:ascii="Times New Roman" w:cs="Times New Roman" w:eastAsia="Times New Roman" w:hAnsi="Times New Roman"/>
          <w:sz w:val="18"/>
          <w:szCs w:val="18"/>
          <w:color w:val="auto"/>
        </w:rPr>
        <w:t>2,620</w:t>
      </w:r>
      <w:r>
        <w:rPr>
          <w:sz w:val="20"/>
          <w:szCs w:val="20"/>
          <w:color w:val="auto"/>
        </w:rPr>
        <w:tab/>
      </w:r>
      <w:r>
        <w:rPr>
          <w:rFonts w:ascii="Times New Roman" w:cs="Times New Roman" w:eastAsia="Times New Roman" w:hAnsi="Times New Roman"/>
          <w:sz w:val="18"/>
          <w:szCs w:val="18"/>
          <w:color w:val="auto"/>
        </w:rPr>
        <w:t>1,989</w:t>
      </w:r>
    </w:p>
    <w:p>
      <w:pPr>
        <w:spacing w:after="0" w:line="50" w:lineRule="exact"/>
        <w:rPr>
          <w:sz w:val="20"/>
          <w:szCs w:val="20"/>
          <w:color w:val="auto"/>
        </w:rPr>
      </w:pPr>
    </w:p>
    <w:p>
      <w:pPr>
        <w:ind w:left="1700" w:hanging="1230"/>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w:t>
      </w:r>
    </w:p>
    <w:p>
      <w:pPr>
        <w:spacing w:after="0" w:line="63"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(20,052)</w:t>
      </w:r>
      <w:r>
        <w:rPr>
          <w:rFonts w:ascii="Times New Roman" w:cs="Times New Roman" w:eastAsia="Times New Roman" w:hAnsi="Times New Roman"/>
          <w:sz w:val="17"/>
          <w:szCs w:val="17"/>
          <w:color w:val="auto"/>
        </w:rPr>
        <w:t>(9,931)</w:t>
      </w:r>
    </w:p>
    <w:p>
      <w:pPr>
        <w:sectPr>
          <w:pgSz w:w="11900" w:h="16877" w:orient="portrait"/>
          <w:cols w:equalWidth="0" w:num="2">
            <w:col w:w="6160" w:space="320"/>
            <w:col w:w="2579"/>
          </w:cols>
          <w:pgMar w:left="1400" w:top="198" w:right="1440" w:bottom="0" w:gutter="0" w:footer="0" w:header="0"/>
          <w:type w:val="continuous"/>
        </w:sectPr>
      </w:pPr>
    </w:p>
    <w:bookmarkStart w:id="8" w:name="page9"/>
    <w:bookmarkEnd w:id="8"/>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2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8"/>
                <w:szCs w:val="18"/>
                <w:color w:val="B4B4B4"/>
              </w:rPr>
              <w:t>.......................................................................................................</w:t>
            </w:r>
          </w:p>
        </w:tc>
        <w:tc>
          <w:tcPr>
            <w:tcW w:w="200" w:type="dxa"/>
            <w:vAlign w:val="bottom"/>
          </w:tcPr>
          <w:p>
            <w:pPr>
              <w:spacing w:after="0"/>
              <w:rPr>
                <w:sz w:val="15"/>
                <w:szCs w:val="15"/>
                <w:color w:val="auto"/>
              </w:rPr>
            </w:pPr>
          </w:p>
        </w:tc>
        <w:tc>
          <w:tcPr>
            <w:tcW w:w="9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2,815</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182"/>
        </w:trPr>
        <w:tc>
          <w:tcPr>
            <w:tcW w:w="6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020" w:type="dxa"/>
            <w:vAlign w:val="bottom"/>
          </w:tcPr>
          <w:p>
            <w:pPr>
              <w:jc w:val="right"/>
              <w:ind w:right="2465"/>
              <w:spacing w:after="0" w:line="142" w:lineRule="exact"/>
              <w:rPr>
                <w:sz w:val="20"/>
                <w:szCs w:val="20"/>
                <w:color w:val="auto"/>
              </w:rPr>
            </w:pPr>
            <w:r>
              <w:rPr>
                <w:rFonts w:ascii="Times New Roman" w:cs="Times New Roman" w:eastAsia="Times New Roman" w:hAnsi="Times New Roman"/>
                <w:sz w:val="14"/>
                <w:szCs w:val="14"/>
                <w:color w:val="auto"/>
              </w:rPr>
              <w:t>(Dollars and shares in thousands except per share amounts)</w:t>
            </w:r>
          </w:p>
        </w:tc>
        <w:tc>
          <w:tcPr>
            <w:tcW w:w="200" w:type="dxa"/>
            <w:vAlign w:val="bottom"/>
          </w:tcPr>
          <w:p>
            <w:pPr>
              <w:spacing w:after="0"/>
              <w:rPr>
                <w:sz w:val="12"/>
                <w:szCs w:val="12"/>
                <w:color w:val="auto"/>
              </w:rPr>
            </w:pPr>
          </w:p>
        </w:tc>
        <w:tc>
          <w:tcPr>
            <w:tcW w:w="98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8"/>
                <w:szCs w:val="18"/>
                <w:color w:val="auto"/>
              </w:rPr>
              <w:t>(2,717)</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54"/>
        </w:trPr>
        <w:tc>
          <w:tcPr>
            <w:tcW w:w="6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3"/>
                <w:szCs w:val="3"/>
                <w:color w:val="auto"/>
              </w:rPr>
              <w:t xml:space="preserve">Interest expense </w:t>
            </w:r>
            <w:r>
              <w:rPr>
                <w:rFonts w:ascii="Times New Roman" w:cs="Times New Roman" w:eastAsia="Times New Roman" w:hAnsi="Times New Roman"/>
                <w:sz w:val="3"/>
                <w:szCs w:val="3"/>
                <w:color w:val="B4B4B4"/>
              </w:rPr>
              <w:t>......................................................................................................</w:t>
            </w: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Other non-operating expense, net</w:t>
            </w:r>
            <w:r>
              <w:rPr>
                <w:rFonts w:ascii="Times New Roman" w:cs="Times New Roman" w:eastAsia="Times New Roman" w:hAnsi="Times New Roman"/>
                <w:sz w:val="18"/>
                <w:szCs w:val="18"/>
                <w:color w:val="B4B4B4"/>
              </w:rPr>
              <w:t>............................................................................</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7"/>
        </w:trPr>
        <w:tc>
          <w:tcPr>
            <w:tcW w:w="6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Loss before income taxes </w:t>
            </w:r>
            <w:r>
              <w:rPr>
                <w:rFonts w:ascii="Times New Roman" w:cs="Times New Roman" w:eastAsia="Times New Roman" w:hAnsi="Times New Roman"/>
                <w:sz w:val="18"/>
                <w:szCs w:val="18"/>
                <w:color w:val="B4B4B4"/>
              </w:rPr>
              <w:t>..........................................................................................</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(31,830)</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Net loss </w:t>
            </w:r>
            <w:r>
              <w:rPr>
                <w:rFonts w:ascii="Times New Roman" w:cs="Times New Roman" w:eastAsia="Times New Roman" w:hAnsi="Times New Roman"/>
                <w:sz w:val="18"/>
                <w:szCs w:val="18"/>
                <w:color w:val="B4B4B4"/>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(31,830)</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-762000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ectPr>
          <w:pgSz w:w="11900" w:h="16948" w:orient="portrait"/>
          <w:cols w:equalWidth="0" w:num="1">
            <w:col w:w="9060"/>
          </w:cols>
          <w:pgMar w:left="1400" w:top="0" w:right="1439" w:bottom="0" w:gutter="0" w:footer="0" w:header="0"/>
        </w:sectPr>
      </w:pPr>
    </w:p>
    <w:p>
      <w:pPr>
        <w:spacing w:after="0" w:line="37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980" w:type="dxa"/>
            <w:vAlign w:val="bottom"/>
          </w:tcPr>
          <w:p>
            <w:pPr>
              <w:jc w:val="right"/>
              <w:ind w:right="3650"/>
              <w:spacing w:after="0"/>
              <w:rPr>
                <w:sz w:val="20"/>
                <w:szCs w:val="20"/>
                <w:color w:val="auto"/>
              </w:rPr>
            </w:pPr>
            <w:r>
              <w:rPr>
                <w:rFonts w:ascii="Times New Roman" w:cs="Times New Roman" w:eastAsia="Times New Roman" w:hAnsi="Times New Roman"/>
                <w:sz w:val="18"/>
                <w:szCs w:val="18"/>
                <w:color w:val="auto"/>
                <w:w w:val="99"/>
              </w:rPr>
              <w:t>Net loss per share information:</w:t>
            </w:r>
          </w:p>
        </w:tc>
        <w:tc>
          <w:tcPr>
            <w:tcW w:w="120" w:type="dxa"/>
            <w:vAlign w:val="bottom"/>
          </w:tcPr>
          <w:p>
            <w:pPr>
              <w:spacing w:after="0"/>
              <w:rPr>
                <w:sz w:val="20"/>
                <w:szCs w:val="20"/>
                <w:color w:val="auto"/>
              </w:rPr>
            </w:pPr>
          </w:p>
        </w:tc>
      </w:tr>
      <w:tr>
        <w:trPr>
          <w:trHeight w:val="257"/>
        </w:trPr>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Net loss </w:t>
            </w:r>
            <w:r>
              <w:rPr>
                <w:rFonts w:ascii="Times New Roman" w:cs="Times New Roman" w:eastAsia="Times New Roman" w:hAnsi="Times New Roman"/>
                <w:sz w:val="18"/>
                <w:szCs w:val="18"/>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Less: Remeasurement of redeemable noncontrolling interest</w:t>
            </w:r>
            <w:r>
              <w:rPr>
                <w:rFonts w:ascii="Times New Roman" w:cs="Times New Roman" w:eastAsia="Times New Roman" w:hAnsi="Times New Roman"/>
                <w:sz w:val="18"/>
                <w:szCs w:val="18"/>
                <w:color w:val="B4B4B4"/>
              </w:rPr>
              <w:t>.................................</w:t>
            </w:r>
          </w:p>
        </w:tc>
        <w:tc>
          <w:tcPr>
            <w:tcW w:w="120" w:type="dxa"/>
            <w:vAlign w:val="bottom"/>
          </w:tcPr>
          <w:p>
            <w:pPr>
              <w:spacing w:after="0"/>
              <w:rPr>
                <w:sz w:val="22"/>
                <w:szCs w:val="22"/>
                <w:color w:val="auto"/>
              </w:rPr>
            </w:pPr>
          </w:p>
        </w:tc>
      </w:tr>
      <w:tr>
        <w:trPr>
          <w:trHeight w:val="257"/>
        </w:trPr>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Net loss attributable to common shares, basic and diluted </w:t>
            </w:r>
            <w:r>
              <w:rPr>
                <w:rFonts w:ascii="Times New Roman" w:cs="Times New Roman" w:eastAsia="Times New Roman" w:hAnsi="Times New Roman"/>
                <w:sz w:val="18"/>
                <w:szCs w:val="18"/>
                <w:color w:val="B4B4B4"/>
              </w:rPr>
              <w:t>....................................</w:t>
            </w:r>
          </w:p>
        </w:tc>
        <w:tc>
          <w:tcPr>
            <w:tcW w:w="120" w:type="dxa"/>
            <w:vAlign w:val="bottom"/>
          </w:tcPr>
          <w:p>
            <w:pPr>
              <w:spacing w:after="0"/>
              <w:rPr>
                <w:sz w:val="22"/>
                <w:szCs w:val="22"/>
                <w:color w:val="auto"/>
              </w:rPr>
            </w:pPr>
          </w:p>
        </w:tc>
      </w:tr>
      <w:tr>
        <w:trPr>
          <w:trHeight w:val="287"/>
        </w:trPr>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Weighted average shares, basic and diluted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20" w:type="dxa"/>
            <w:vAlign w:val="bottom"/>
          </w:tcPr>
          <w:p>
            <w:pPr>
              <w:spacing w:after="0"/>
              <w:rPr>
                <w:sz w:val="24"/>
                <w:szCs w:val="24"/>
                <w:color w:val="auto"/>
              </w:rPr>
            </w:pPr>
          </w:p>
        </w:tc>
      </w:tr>
    </w:tbl>
    <w:p>
      <w:pPr>
        <w:jc w:val="center"/>
        <w:ind w:left="400"/>
        <w:spacing w:after="0"/>
        <w:rPr>
          <w:sz w:val="20"/>
          <w:szCs w:val="20"/>
          <w:color w:val="auto"/>
        </w:rPr>
      </w:pPr>
      <w:r>
        <w:rPr>
          <w:rFonts w:ascii="Times New Roman" w:cs="Times New Roman" w:eastAsia="Times New Roman" w:hAnsi="Times New Roman"/>
          <w:sz w:val="17"/>
          <w:szCs w:val="17"/>
          <w:color w:val="auto"/>
        </w:rPr>
        <w:t xml:space="preserve">Net loss per share attributable to common stockholders, basic and diluted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B4B4B4"/>
        </w:rPr>
        <w:t>...</w:t>
      </w:r>
      <w:r>
        <w:rPr>
          <w:rFonts w:ascii="Times New Roman" w:cs="Times New Roman" w:eastAsia="Times New Roman" w:hAnsi="Times New Roman"/>
          <w:sz w:val="17"/>
          <w:szCs w:val="17"/>
          <w:color w:val="auto"/>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(31,830)</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(9,146)</w:t>
            </w:r>
          </w:p>
        </w:tc>
      </w:tr>
      <w:tr>
        <w:trPr>
          <w:trHeight w:val="256"/>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3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(35,264)</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(9,146)</w:t>
            </w:r>
          </w:p>
        </w:tc>
      </w:tr>
      <w:tr>
        <w:trPr>
          <w:trHeight w:val="270"/>
        </w:trPr>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9,467</w:t>
            </w: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8,961</w:t>
            </w:r>
          </w:p>
        </w:tc>
      </w:tr>
      <w:tr>
        <w:trPr>
          <w:trHeight w:val="257"/>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213" w:lineRule="exact"/>
        <w:rPr>
          <w:sz w:val="20"/>
          <w:szCs w:val="20"/>
          <w:color w:val="auto"/>
        </w:rPr>
      </w:pPr>
    </w:p>
    <w:p>
      <w:pPr>
        <w:sectPr>
          <w:pgSz w:w="11900" w:h="16948" w:orient="portrait"/>
          <w:cols w:equalWidth="0" w:num="2">
            <w:col w:w="6160" w:space="420"/>
            <w:col w:w="2480"/>
          </w:cols>
          <w:pgMar w:left="1400" w:top="0" w:right="1439" w:bottom="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8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4"/>
                <w:szCs w:val="14"/>
                <w:color w:val="auto"/>
              </w:rPr>
              <w:t>Shares for periods presented have been retroactively adjusted to reflect the  0.7194-for-1 reverse stock split effected on</w:t>
            </w:r>
          </w:p>
        </w:tc>
        <w:tc>
          <w:tcPr>
            <w:tcW w:w="1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May 14, 2026 in connection with</w:t>
            </w:r>
          </w:p>
        </w:tc>
      </w:tr>
      <w:tr>
        <w:trPr>
          <w:trHeight w:val="20"/>
        </w:trPr>
        <w:tc>
          <w:tcPr>
            <w:tcW w:w="60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36"/>
        </w:trPr>
        <w:tc>
          <w:tcPr>
            <w:tcW w:w="7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the Company’s IPO. See  Note 2 – Significant Accounting Policies  and Note 17 – Subsequent Events  in the notes to</w:t>
            </w:r>
          </w:p>
        </w:tc>
        <w:tc>
          <w:tcPr>
            <w:tcW w:w="1360" w:type="dxa"/>
            <w:vAlign w:val="bottom"/>
            <w:tcBorders>
              <w:bottom w:val="single" w:sz="8" w:color="CCEEFF"/>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shd w:val="clear" w:color="auto" w:fill="CCEEFF"/>
              </w:rPr>
              <w:t>condensed consolidate</w:t>
            </w: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d financial</w:t>
            </w:r>
          </w:p>
        </w:tc>
      </w:tr>
      <w:tr>
        <w:trPr>
          <w:trHeight w:val="168"/>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statements for details.</w:t>
            </w: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r>
      <w:tr>
        <w:trPr>
          <w:trHeight w:val="41"/>
        </w:trPr>
        <w:tc>
          <w:tcPr>
            <w:tcW w:w="60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50"/>
        </w:trPr>
        <w:tc>
          <w:tcPr>
            <w:tcW w:w="60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60" w:type="dxa"/>
            <w:vAlign w:val="bottom"/>
            <w:tcBorders>
              <w:right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r>
      <w:tr>
        <w:trPr>
          <w:trHeight w:val="257"/>
        </w:trPr>
        <w:tc>
          <w:tcPr>
            <w:tcW w:w="60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57"/>
        </w:trPr>
        <w:tc>
          <w:tcPr>
            <w:tcW w:w="60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60" w:type="dxa"/>
            <w:vAlign w:val="bottom"/>
            <w:tcBorders>
              <w:right w:val="single" w:sz="8" w:color="CCEEFF"/>
            </w:tcBorders>
            <w:shd w:val="clear" w:color="auto" w:fill="CCEEFF"/>
          </w:tcPr>
          <w:p>
            <w:pPr>
              <w:spacing w:after="0"/>
              <w:rPr>
                <w:sz w:val="22"/>
                <w:szCs w:val="22"/>
                <w:color w:val="auto"/>
              </w:rPr>
            </w:pPr>
          </w:p>
        </w:tc>
        <w:tc>
          <w:tcPr>
            <w:tcW w:w="620" w:type="dxa"/>
            <w:vAlign w:val="bottom"/>
          </w:tcPr>
          <w:p>
            <w:pPr>
              <w:spacing w:after="0"/>
              <w:rPr>
                <w:sz w:val="22"/>
                <w:szCs w:val="22"/>
                <w:color w:val="auto"/>
              </w:rPr>
            </w:pPr>
          </w:p>
        </w:tc>
      </w:tr>
      <w:tr>
        <w:trPr>
          <w:trHeight w:val="257"/>
        </w:trPr>
        <w:tc>
          <w:tcPr>
            <w:tcW w:w="60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56"/>
        </w:trPr>
        <w:tc>
          <w:tcPr>
            <w:tcW w:w="60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60" w:type="dxa"/>
            <w:vAlign w:val="bottom"/>
            <w:tcBorders>
              <w:right w:val="single" w:sz="8" w:color="CCEEFF"/>
            </w:tcBorders>
            <w:shd w:val="clear" w:color="auto" w:fill="CCEEFF"/>
          </w:tcPr>
          <w:p>
            <w:pPr>
              <w:spacing w:after="0"/>
              <w:rPr>
                <w:sz w:val="22"/>
                <w:szCs w:val="22"/>
                <w:color w:val="auto"/>
              </w:rPr>
            </w:pPr>
          </w:p>
        </w:tc>
        <w:tc>
          <w:tcPr>
            <w:tcW w:w="620" w:type="dxa"/>
            <w:vAlign w:val="bottom"/>
          </w:tcPr>
          <w:p>
            <w:pPr>
              <w:spacing w:after="0"/>
              <w:rPr>
                <w:sz w:val="22"/>
                <w:szCs w:val="22"/>
                <w:color w:val="auto"/>
              </w:rPr>
            </w:pPr>
          </w:p>
        </w:tc>
      </w:tr>
      <w:tr>
        <w:trPr>
          <w:trHeight w:val="277"/>
        </w:trPr>
        <w:tc>
          <w:tcPr>
            <w:tcW w:w="60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6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sectPr>
          <w:pgSz w:w="11900" w:h="16948" w:orient="portrait"/>
          <w:cols w:equalWidth="0" w:num="1">
            <w:col w:w="9060"/>
          </w:cols>
          <w:pgMar w:left="1400" w:top="0" w:right="1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ASSETS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Current assets:</w:t>
      </w:r>
    </w:p>
    <w:p>
      <w:pPr>
        <w:spacing w:after="0" w:line="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 xml:space="preserve">Cash and cash equivalents </w:t>
      </w:r>
      <w:r>
        <w:rPr>
          <w:rFonts w:ascii="Times New Roman" w:cs="Times New Roman" w:eastAsia="Times New Roman" w:hAnsi="Times New Roman"/>
          <w:sz w:val="17"/>
          <w:szCs w:val="17"/>
          <w:color w:val="B4B4B4"/>
        </w:rPr>
        <w:t>.....................................................................................</w:t>
      </w:r>
      <w:r>
        <w:rPr>
          <w:rFonts w:ascii="Times New Roman" w:cs="Times New Roman" w:eastAsia="Times New Roman" w:hAnsi="Times New Roman"/>
          <w:sz w:val="17"/>
          <w:szCs w:val="17"/>
          <w:color w:val="auto"/>
        </w:rPr>
        <w:t xml:space="preserve"> $</w:t>
      </w:r>
    </w:p>
    <w:p>
      <w:pPr>
        <w:spacing w:after="0" w:line="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 xml:space="preserve">Grant receivables </w:t>
      </w:r>
      <w:r>
        <w:rPr>
          <w:rFonts w:ascii="Times New Roman" w:cs="Times New Roman" w:eastAsia="Times New Roman" w:hAnsi="Times New Roman"/>
          <w:sz w:val="17"/>
          <w:szCs w:val="17"/>
          <w:color w:val="B4B4B4"/>
        </w:rPr>
        <w: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 xml:space="preserve">Prepaid expenses and other </w:t>
      </w:r>
      <w:r>
        <w:rPr>
          <w:rFonts w:ascii="Times New Roman" w:cs="Times New Roman" w:eastAsia="Times New Roman" w:hAnsi="Times New Roman"/>
          <w:sz w:val="17"/>
          <w:szCs w:val="17"/>
          <w:color w:val="B4B4B4"/>
        </w:rPr>
        <w:t>...................................................................................</w:t>
      </w: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Total current assets </w:t>
      </w:r>
      <w:r>
        <w:rPr>
          <w:rFonts w:ascii="Times New Roman" w:cs="Times New Roman" w:eastAsia="Times New Roman" w:hAnsi="Times New Roman"/>
          <w:sz w:val="17"/>
          <w:szCs w:val="17"/>
          <w:color w:val="B4B4B4"/>
        </w:rPr>
        <w:t>..........................................................................................</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 xml:space="preserve">Deposits </w:t>
      </w:r>
      <w:r>
        <w:rPr>
          <w:rFonts w:ascii="Times New Roman" w:cs="Times New Roman" w:eastAsia="Times New Roman" w:hAnsi="Times New Roman"/>
          <w:sz w:val="17"/>
          <w:szCs w:val="17"/>
          <w:color w:val="B4B4B4"/>
        </w:rPr>
        <w:t>.................................................................................................................</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 xml:space="preserve">Construction-in-process </w:t>
      </w:r>
      <w:r>
        <w:rPr>
          <w:rFonts w:ascii="Times New Roman" w:cs="Times New Roman" w:eastAsia="Times New Roman" w:hAnsi="Times New Roman"/>
          <w:sz w:val="17"/>
          <w:szCs w:val="17"/>
          <w:color w:val="B4B4B4"/>
        </w:rPr>
        <w:t>........................................................................................</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 xml:space="preserve">Operating leases right of use assets </w:t>
      </w:r>
      <w:r>
        <w:rPr>
          <w:rFonts w:ascii="Times New Roman" w:cs="Times New Roman" w:eastAsia="Times New Roman" w:hAnsi="Times New Roman"/>
          <w:sz w:val="17"/>
          <w:szCs w:val="17"/>
          <w:color w:val="B4B4B4"/>
        </w:rPr>
        <w:t>.......................................................................</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 xml:space="preserve">Restricted cash </w:t>
      </w:r>
      <w:r>
        <w:rPr>
          <w:rFonts w:ascii="Times New Roman" w:cs="Times New Roman" w:eastAsia="Times New Roman" w:hAnsi="Times New Roman"/>
          <w:sz w:val="17"/>
          <w:szCs w:val="17"/>
          <w:color w:val="B4B4B4"/>
        </w:rPr>
        <w:t>......................................................................................................</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 xml:space="preserve">Other long-term assets </w:t>
      </w:r>
      <w:r>
        <w:rPr>
          <w:rFonts w:ascii="Times New Roman" w:cs="Times New Roman" w:eastAsia="Times New Roman" w:hAnsi="Times New Roman"/>
          <w:sz w:val="17"/>
          <w:szCs w:val="17"/>
          <w:color w:val="B4B4B4"/>
        </w:rPr>
        <w:t>...........................................................................................</w:t>
      </w: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Total assets </w:t>
      </w:r>
      <w:r>
        <w:rPr>
          <w:rFonts w:ascii="Times New Roman" w:cs="Times New Roman" w:eastAsia="Times New Roman" w:hAnsi="Times New Roman"/>
          <w:sz w:val="17"/>
          <w:szCs w:val="17"/>
          <w:color w:val="B4B4B4"/>
        </w:rPr>
        <w:t>.......................................................................................................</w:t>
      </w:r>
      <w:r>
        <w:rPr>
          <w:rFonts w:ascii="Times New Roman" w:cs="Times New Roman" w:eastAsia="Times New Roman" w:hAnsi="Times New Roman"/>
          <w:sz w:val="17"/>
          <w:szCs w:val="17"/>
          <w:color w:val="auto"/>
        </w:rPr>
        <w:t xml:space="preserve"> $</w:t>
      </w:r>
    </w:p>
    <w:p>
      <w:pPr>
        <w:spacing w:after="0" w:line="3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b w:val="1"/>
          <w:bCs w:val="1"/>
          <w:color w:val="auto"/>
        </w:rPr>
        <w:t>LIABILITIES AND EQUITY</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Current liabilities:</w:t>
      </w:r>
    </w:p>
    <w:p>
      <w:pPr>
        <w:spacing w:after="0" w:line="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 xml:space="preserve">Accounts payable </w:t>
      </w:r>
      <w:r>
        <w:rPr>
          <w:rFonts w:ascii="Times New Roman" w:cs="Times New Roman" w:eastAsia="Times New Roman" w:hAnsi="Times New Roman"/>
          <w:sz w:val="17"/>
          <w:szCs w:val="17"/>
          <w:color w:val="B4B4B4"/>
        </w:rPr>
        <w:t>...................................................................................................</w:t>
      </w:r>
      <w:r>
        <w:rPr>
          <w:rFonts w:ascii="Times New Roman" w:cs="Times New Roman" w:eastAsia="Times New Roman" w:hAnsi="Times New Roman"/>
          <w:sz w:val="17"/>
          <w:szCs w:val="17"/>
          <w:color w:val="auto"/>
        </w:rPr>
        <w:t xml:space="preserve"> $</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Accrued capital expenditures</w:t>
      </w:r>
      <w:r>
        <w:rPr>
          <w:rFonts w:ascii="Times New Roman" w:cs="Times New Roman" w:eastAsia="Times New Roman" w:hAnsi="Times New Roman"/>
          <w:sz w:val="17"/>
          <w:szCs w:val="17"/>
          <w:color w:val="B4B4B4"/>
        </w:rPr>
        <w: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 xml:space="preserve">Operating lease liabilities </w:t>
      </w:r>
      <w:r>
        <w:rPr>
          <w:rFonts w:ascii="Times New Roman" w:cs="Times New Roman" w:eastAsia="Times New Roman" w:hAnsi="Times New Roman"/>
          <w:sz w:val="17"/>
          <w:szCs w:val="17"/>
          <w:color w:val="B4B4B4"/>
        </w:rPr>
        <w:t>........................................................................................</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 xml:space="preserve">Other current liabilities </w:t>
      </w:r>
      <w:r>
        <w:rPr>
          <w:rFonts w:ascii="Times New Roman" w:cs="Times New Roman" w:eastAsia="Times New Roman" w:hAnsi="Times New Roman"/>
          <w:sz w:val="17"/>
          <w:szCs w:val="17"/>
          <w:color w:val="B4B4B4"/>
        </w:rPr>
        <w:t>............................................................................................</w:t>
      </w:r>
    </w:p>
    <w:p>
      <w:pPr>
        <w:spacing w:after="0" w:line="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Total current liabilities </w:t>
      </w:r>
      <w:r>
        <w:rPr>
          <w:rFonts w:ascii="Times New Roman" w:cs="Times New Roman" w:eastAsia="Times New Roman" w:hAnsi="Times New Roman"/>
          <w:sz w:val="17"/>
          <w:szCs w:val="17"/>
          <w:color w:val="B4B4B4"/>
        </w:rPr>
        <w:t>.......................................................................................</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 xml:space="preserve">Long-term debt, net of issuance costs </w:t>
      </w:r>
      <w:r>
        <w:rPr>
          <w:rFonts w:ascii="Times New Roman" w:cs="Times New Roman" w:eastAsia="Times New Roman" w:hAnsi="Times New Roman"/>
          <w:sz w:val="17"/>
          <w:szCs w:val="17"/>
          <w:color w:val="B4B4B4"/>
        </w:rPr>
        <w:t>......................................................................</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 xml:space="preserve">Operating lease liabilities </w:t>
      </w:r>
      <w:r>
        <w:rPr>
          <w:rFonts w:ascii="Times New Roman" w:cs="Times New Roman" w:eastAsia="Times New Roman" w:hAnsi="Times New Roman"/>
          <w:sz w:val="17"/>
          <w:szCs w:val="17"/>
          <w:color w:val="B4B4B4"/>
        </w:rPr>
        <w:t>........................................................................................</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 xml:space="preserve">Other long-term liabilities </w:t>
      </w:r>
      <w:r>
        <w:rPr>
          <w:rFonts w:ascii="Times New Roman" w:cs="Times New Roman" w:eastAsia="Times New Roman" w:hAnsi="Times New Roman"/>
          <w:sz w:val="17"/>
          <w:szCs w:val="17"/>
          <w:color w:val="B4B4B4"/>
        </w:rPr>
        <w:t>.......................................................................................</w:t>
      </w: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Total liabilities </w:t>
      </w:r>
      <w:r>
        <w:rPr>
          <w:rFonts w:ascii="Times New Roman" w:cs="Times New Roman" w:eastAsia="Times New Roman" w:hAnsi="Times New Roman"/>
          <w:sz w:val="17"/>
          <w:szCs w:val="17"/>
          <w:color w:val="B4B4B4"/>
        </w:rPr>
        <w:t>.................................................................................................</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 xml:space="preserve">Commitments and Contingencies (Note 16) </w:t>
      </w:r>
      <w:r>
        <w:rPr>
          <w:rFonts w:ascii="Times New Roman" w:cs="Times New Roman" w:eastAsia="Times New Roman" w:hAnsi="Times New Roman"/>
          <w:sz w:val="17"/>
          <w:szCs w:val="17"/>
          <w:color w:val="B4B4B4"/>
        </w:rPr>
        <w:t>............................................................</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Redeemable convertible preferred stock</w:t>
      </w:r>
    </w:p>
    <w:p>
      <w:pPr>
        <w:spacing w:after="0" w:line="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Redeemable convertible preferred stock, par value $0.0001 per share; 283,546</w:t>
      </w:r>
    </w:p>
    <w:p>
      <w:pPr>
        <w:spacing w:after="0" w:line="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and 283,546 authorized; 279,995 and 279,995 issued and outstanding as of</w:t>
      </w:r>
    </w:p>
    <w:p>
      <w:pPr>
        <w:spacing w:after="0" w:line="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 xml:space="preserve">March 31, 2026 and December 31, 2025, respectively </w:t>
      </w:r>
      <w:r>
        <w:rPr>
          <w:rFonts w:ascii="Times New Roman" w:cs="Times New Roman" w:eastAsia="Times New Roman" w:hAnsi="Times New Roman"/>
          <w:sz w:val="17"/>
          <w:szCs w:val="17"/>
          <w:color w:val="B4B4B4"/>
        </w:rPr>
        <w:t>.........................................</w:t>
      </w: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Redeemable noncontrolling interest</w:t>
      </w:r>
    </w:p>
    <w:p>
      <w:pPr>
        <w:spacing w:after="0" w:line="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Cape Phase I HoldCo - Redeemable noncontrolling interest</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Cape Phase I Intermediate HoldCo - Redeemable noncontrolling interest</w:t>
      </w: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Stockholders’ deficit:</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Common stock, par value $0.0001 per share; 358,279 and 358,279 authorized;</w:t>
      </w: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9,873 and 9,457 issued as of March 31, 2026 and December 31, 2025,</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respectively</w:t>
      </w:r>
      <w:r>
        <w:rPr>
          <w:rFonts w:ascii="Times New Roman" w:cs="Times New Roman" w:eastAsia="Times New Roman" w:hAnsi="Times New Roman"/>
          <w:sz w:val="22"/>
          <w:szCs w:val="22"/>
          <w:color w:val="auto"/>
          <w:vertAlign w:val="superscript"/>
        </w:rPr>
        <w:t>(1)</w:t>
      </w:r>
    </w:p>
    <w:p>
      <w:pPr>
        <w:ind w:left="280"/>
        <w:spacing w:after="0"/>
        <w:rPr>
          <w:sz w:val="20"/>
          <w:szCs w:val="20"/>
          <w:color w:val="auto"/>
        </w:rPr>
      </w:pPr>
      <w:r>
        <w:rPr>
          <w:rFonts w:ascii="Times New Roman" w:cs="Times New Roman" w:eastAsia="Times New Roman" w:hAnsi="Times New Roman"/>
          <w:sz w:val="17"/>
          <w:szCs w:val="17"/>
          <w:color w:val="auto"/>
        </w:rPr>
        <w:t>Additional paid-in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0" w:lineRule="exact"/>
        <w:rPr>
          <w:sz w:val="20"/>
          <w:szCs w:val="20"/>
          <w:color w:val="auto"/>
        </w:rPr>
      </w:pPr>
    </w:p>
    <w:p>
      <w:pPr>
        <w:spacing w:after="0" w:line="263"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7"/>
          <w:szCs w:val="17"/>
          <w:color w:val="auto"/>
        </w:rPr>
        <w:t>280,776</w:t>
      </w:r>
      <w:r>
        <w:rPr>
          <w:sz w:val="20"/>
          <w:szCs w:val="20"/>
          <w:color w:val="auto"/>
        </w:rPr>
        <w:tab/>
      </w:r>
      <w:r>
        <w:rPr>
          <w:rFonts w:ascii="Times New Roman" w:cs="Times New Roman" w:eastAsia="Times New Roman" w:hAnsi="Times New Roman"/>
          <w:sz w:val="16"/>
          <w:szCs w:val="16"/>
          <w:color w:val="auto"/>
        </w:rPr>
        <w:t>$</w:t>
      </w:r>
    </w:p>
    <w:p>
      <w:pPr>
        <w:spacing w:after="0" w:line="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16,755</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10,338</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307,869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15,242</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972,040</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91,112</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6,000</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35,244</w:t>
      </w:r>
    </w:p>
    <w:p>
      <w:pPr>
        <w:spacing w:after="0" w:line="19" w:lineRule="exact"/>
        <w:rPr>
          <w:sz w:val="20"/>
          <w:szCs w:val="20"/>
          <w:color w:val="auto"/>
        </w:rPr>
      </w:pPr>
    </w:p>
    <w:p>
      <w:pPr>
        <w:ind w:left="20"/>
        <w:spacing w:after="0"/>
        <w:tabs>
          <w:tab w:leader="none" w:pos="860" w:val="left"/>
        </w:tabs>
        <w:rPr>
          <w:sz w:val="20"/>
          <w:szCs w:val="20"/>
          <w:color w:val="auto"/>
        </w:rPr>
      </w:pPr>
      <w:r>
        <w:rPr>
          <w:rFonts w:ascii="Times New Roman" w:cs="Times New Roman" w:eastAsia="Times New Roman" w:hAnsi="Times New Roman"/>
          <w:sz w:val="17"/>
          <w:szCs w:val="17"/>
          <w:color w:val="auto"/>
        </w:rPr>
        <w:t>1,427,507</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5"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7"/>
          <w:szCs w:val="17"/>
          <w:color w:val="auto"/>
        </w:rPr>
        <w:t>8,043</w:t>
      </w:r>
      <w:r>
        <w:rPr>
          <w:sz w:val="20"/>
          <w:szCs w:val="20"/>
          <w:color w:val="auto"/>
        </w:rPr>
        <w:tab/>
      </w:r>
      <w:r>
        <w:rPr>
          <w:rFonts w:ascii="Times New Roman" w:cs="Times New Roman" w:eastAsia="Times New Roman" w:hAnsi="Times New Roman"/>
          <w:sz w:val="16"/>
          <w:szCs w:val="16"/>
          <w:color w:val="auto"/>
        </w:rPr>
        <w:t>$</w:t>
      </w:r>
    </w:p>
    <w:p>
      <w:pPr>
        <w:spacing w:after="0" w:line="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147,610</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25,335</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20,932</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201,920</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186,636</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86,349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24,673</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499,578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1,022,886</w:t>
      </w:r>
    </w:p>
    <w:p>
      <w:pPr>
        <w:spacing w:after="0" w:line="277"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7"/>
          <w:szCs w:val="17"/>
          <w:color w:val="auto"/>
        </w:rPr>
        <w:t>103,843</w:t>
      </w:r>
    </w:p>
    <w:p>
      <w:pPr>
        <w:spacing w:after="0" w:line="27"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7"/>
          <w:szCs w:val="17"/>
          <w:color w:val="auto"/>
        </w:rPr>
        <w:t>79,521</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0" w:lineRule="exact"/>
        <w:rPr>
          <w:sz w:val="20"/>
          <w:szCs w:val="20"/>
          <w:color w:val="auto"/>
        </w:rPr>
      </w:pPr>
    </w:p>
    <w:p>
      <w:pPr>
        <w:spacing w:after="0" w:line="26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461,836</w:t>
      </w:r>
    </w:p>
    <w:p>
      <w:pPr>
        <w:spacing w:after="0" w:line="27"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10,580</w:t>
      </w:r>
    </w:p>
    <w:p>
      <w:pPr>
        <w:spacing w:after="0" w:line="21"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9,714</w:t>
      </w:r>
    </w:p>
    <w:p>
      <w:pPr>
        <w:spacing w:after="0" w:line="21"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482,130</w:t>
      </w:r>
    </w:p>
    <w:p>
      <w:pPr>
        <w:spacing w:after="0" w:line="21"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15,234</w:t>
      </w:r>
    </w:p>
    <w:p>
      <w:pPr>
        <w:spacing w:after="0" w:line="21"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789,571</w:t>
      </w:r>
    </w:p>
    <w:p>
      <w:pPr>
        <w:spacing w:after="0" w:line="21"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58,713</w:t>
      </w:r>
    </w:p>
    <w:p>
      <w:pPr>
        <w:spacing w:after="0" w:line="21"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6,000</w:t>
      </w:r>
    </w:p>
    <w:p>
      <w:pPr>
        <w:spacing w:after="0" w:line="21"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13,520</w:t>
      </w:r>
    </w:p>
    <w:p>
      <w:pPr>
        <w:spacing w:after="0" w:line="21"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1,365,168</w:t>
      </w:r>
    </w:p>
    <w:p>
      <w:pPr>
        <w:spacing w:after="0" w:line="200" w:lineRule="exact"/>
        <w:rPr>
          <w:sz w:val="20"/>
          <w:szCs w:val="20"/>
          <w:color w:val="auto"/>
        </w:rPr>
      </w:pPr>
    </w:p>
    <w:p>
      <w:pPr>
        <w:spacing w:after="0" w:line="246"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10,789</w:t>
      </w:r>
    </w:p>
    <w:p>
      <w:pPr>
        <w:spacing w:after="0" w:line="27"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119,303</w:t>
      </w:r>
    </w:p>
    <w:p>
      <w:pPr>
        <w:spacing w:after="0" w:line="21"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4,822</w:t>
      </w:r>
    </w:p>
    <w:p>
      <w:pPr>
        <w:spacing w:after="0" w:line="21"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16,997</w:t>
      </w:r>
    </w:p>
    <w:p>
      <w:pPr>
        <w:spacing w:after="0" w:line="21"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151,911</w:t>
      </w:r>
    </w:p>
    <w:p>
      <w:pPr>
        <w:spacing w:after="0" w:line="21"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172,837</w:t>
      </w:r>
    </w:p>
    <w:p>
      <w:pPr>
        <w:spacing w:after="0" w:line="21"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72,639</w:t>
      </w:r>
    </w:p>
    <w:p>
      <w:pPr>
        <w:spacing w:after="0" w:line="21"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11,407</w:t>
      </w:r>
    </w:p>
    <w:p>
      <w:pPr>
        <w:spacing w:after="0" w:line="21"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408,794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1,022,942</w:t>
      </w:r>
    </w:p>
    <w:p>
      <w:pPr>
        <w:spacing w:after="0" w:line="277"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102,586</w:t>
      </w:r>
    </w:p>
    <w:p>
      <w:pPr>
        <w:spacing w:after="0" w:line="27"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77,344</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7"/>
          <w:szCs w:val="17"/>
          <w:color w:val="auto"/>
        </w:rPr>
        <w:t>1</w:t>
      </w:r>
    </w:p>
    <w:p>
      <w:pPr>
        <w:sectPr>
          <w:pgSz w:w="11900" w:h="16948" w:orient="portrait"/>
          <w:cols w:equalWidth="0" w:num="3">
            <w:col w:w="5920" w:space="380"/>
            <w:col w:w="960" w:space="380"/>
            <w:col w:w="1420"/>
          </w:cols>
          <w:pgMar w:left="1400" w:top="0" w:right="1439" w:bottom="0" w:gutter="0" w:footer="0" w:header="0"/>
          <w:type w:val="continuous"/>
        </w:sectPr>
      </w:pPr>
    </w:p>
    <w:bookmarkStart w:id="9" w:name="page10"/>
    <w:bookmarkEnd w:id="9"/>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7"/>
          <w:szCs w:val="17"/>
          <w:color w:val="auto"/>
        </w:rPr>
        <w:t>Treasury stock, at cost; 270 and 270 shares as of March 31, 2026 and</w:t>
      </w:r>
    </w:p>
    <w:tbl>
      <w:tblPr>
        <w:tblLayout w:type="fixed"/>
        <w:tblInd w:w="60" w:type="dxa"/>
        <w:tblCellMar>
          <w:top w:w="0" w:type="dxa"/>
          <w:left w:w="0" w:type="dxa"/>
          <w:bottom w:w="0" w:type="dxa"/>
          <w:right w:w="0" w:type="dxa"/>
        </w:tblCellMar>
      </w:tblPr>
      <w:tr>
        <w:trPr>
          <w:trHeight w:val="57"/>
        </w:trPr>
        <w:tc>
          <w:tcPr>
            <w:tcW w:w="2300" w:type="dxa"/>
            <w:vAlign w:val="bottom"/>
          </w:tcPr>
          <w:p>
            <w:pPr>
              <w:spacing w:after="0" w:line="57" w:lineRule="exact"/>
              <w:rPr>
                <w:sz w:val="20"/>
                <w:szCs w:val="20"/>
                <w:color w:val="auto"/>
              </w:rPr>
            </w:pPr>
            <w:r>
              <w:rPr>
                <w:rFonts w:ascii="Times New Roman" w:cs="Times New Roman" w:eastAsia="Times New Roman" w:hAnsi="Times New Roman"/>
                <w:sz w:val="6"/>
                <w:szCs w:val="6"/>
                <w:color w:val="auto"/>
              </w:rPr>
              <w:t>(Dollars and shares in thousands)</w:t>
            </w:r>
          </w:p>
        </w:tc>
        <w:tc>
          <w:tcPr>
            <w:tcW w:w="520" w:type="dxa"/>
            <w:vAlign w:val="bottom"/>
          </w:tcPr>
          <w:p>
            <w:pPr>
              <w:jc w:val="right"/>
              <w:spacing w:after="0" w:line="57" w:lineRule="exact"/>
              <w:rPr>
                <w:sz w:val="20"/>
                <w:szCs w:val="20"/>
                <w:color w:val="auto"/>
              </w:rPr>
            </w:pPr>
            <w:r>
              <w:rPr>
                <w:rFonts w:ascii="Times New Roman" w:cs="Times New Roman" w:eastAsia="Times New Roman" w:hAnsi="Times New Roman"/>
                <w:sz w:val="6"/>
                <w:szCs w:val="6"/>
                <w:color w:val="auto"/>
              </w:rPr>
              <w:t>(1)</w:t>
            </w:r>
          </w:p>
        </w:tc>
      </w:tr>
    </w:tbl>
    <w:p>
      <w:pPr>
        <w:ind w:left="440"/>
        <w:spacing w:after="0"/>
        <w:tabs>
          <w:tab w:leader="none" w:pos="2920" w:val="left"/>
        </w:tabs>
        <w:rPr>
          <w:sz w:val="20"/>
          <w:szCs w:val="20"/>
          <w:color w:val="auto"/>
        </w:rPr>
      </w:pPr>
      <w:r>
        <w:rPr>
          <w:rFonts w:ascii="Times New Roman" w:cs="Times New Roman" w:eastAsia="Times New Roman" w:hAnsi="Times New Roman"/>
          <w:sz w:val="17"/>
          <w:szCs w:val="17"/>
          <w:color w:val="auto"/>
        </w:rPr>
        <w:t>December 31, 2025, respectively</w:t>
      </w:r>
      <w:r>
        <w:rPr>
          <w:rFonts w:ascii="Times New Roman" w:cs="Times New Roman" w:eastAsia="Times New Roman" w:hAnsi="Times New Roman"/>
          <w:sz w:val="17"/>
          <w:szCs w:val="17"/>
          <w:color w:val="B4B4B4"/>
        </w:rPr>
        <w:tab/>
        <w: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 xml:space="preserve">Accumulated deficit </w:t>
      </w:r>
      <w:r>
        <w:rPr>
          <w:rFonts w:ascii="Times New Roman" w:cs="Times New Roman" w:eastAsia="Times New Roman" w:hAnsi="Times New Roman"/>
          <w:sz w:val="17"/>
          <w:szCs w:val="17"/>
          <w:color w:val="B4B4B4"/>
        </w:rPr>
        <w:t>..............................................................................................</w:t>
      </w:r>
    </w:p>
    <w:p>
      <w:pPr>
        <w:spacing w:after="0" w:line="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Total stockholders’ deficit </w:t>
      </w:r>
      <w:r>
        <w:rPr>
          <w:rFonts w:ascii="Times New Roman" w:cs="Times New Roman" w:eastAsia="Times New Roman" w:hAnsi="Times New Roman"/>
          <w:sz w:val="17"/>
          <w:szCs w:val="17"/>
          <w:color w:val="B4B4B4"/>
        </w:rPr>
        <w:t>..................................................................................</w:t>
      </w:r>
    </w:p>
    <w:p>
      <w:pPr>
        <w:spacing w:after="0" w:line="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Total liabilities, redeemable convertible preferred stock, redeemable</w:t>
      </w:r>
    </w:p>
    <w:p>
      <w:pPr>
        <w:spacing w:after="0" w:line="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noncontrolling interests and stockholders’ deficit </w:t>
      </w:r>
      <w:r>
        <w:rPr>
          <w:rFonts w:ascii="Times New Roman" w:cs="Times New Roman" w:eastAsia="Times New Roman" w:hAnsi="Times New Roman"/>
          <w:sz w:val="17"/>
          <w:szCs w:val="17"/>
          <w:color w:val="B4B4B4"/>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160" w:type="dxa"/>
            <w:vAlign w:val="bottom"/>
          </w:tcPr>
          <w:p>
            <w:pPr>
              <w:spacing w:after="0"/>
              <w:rPr>
                <w:sz w:val="3"/>
                <w:szCs w:val="3"/>
                <w:color w:val="auto"/>
              </w:rPr>
            </w:pPr>
          </w:p>
        </w:tc>
        <w:tc>
          <w:tcPr>
            <w:tcW w:w="120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b w:val="1"/>
                <w:bCs w:val="1"/>
                <w:color w:val="auto"/>
              </w:rPr>
              <w:t>As of March 31,</w:t>
            </w:r>
          </w:p>
        </w:tc>
        <w:tc>
          <w:tcPr>
            <w:tcW w:w="1300" w:type="dxa"/>
            <w:vAlign w:val="bottom"/>
            <w:gridSpan w:val="2"/>
          </w:tcPr>
          <w:p>
            <w:pPr>
              <w:ind w:left="40"/>
              <w:spacing w:after="0" w:line="41" w:lineRule="exact"/>
              <w:rPr>
                <w:sz w:val="20"/>
                <w:szCs w:val="20"/>
                <w:color w:val="auto"/>
              </w:rPr>
            </w:pPr>
            <w:r>
              <w:rPr>
                <w:rFonts w:ascii="Times New Roman" w:cs="Times New Roman" w:eastAsia="Times New Roman" w:hAnsi="Times New Roman"/>
                <w:sz w:val="4"/>
                <w:szCs w:val="4"/>
                <w:b w:val="1"/>
                <w:bCs w:val="1"/>
                <w:color w:val="auto"/>
              </w:rPr>
              <w:t>As of December 31,</w:t>
            </w:r>
          </w:p>
        </w:tc>
      </w:tr>
      <w:tr>
        <w:trPr>
          <w:trHeight w:val="222"/>
        </w:trPr>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(1,960)</w:t>
            </w:r>
          </w:p>
        </w:tc>
      </w:tr>
      <w:tr>
        <w:trPr>
          <w:trHeight w:val="48"/>
        </w:trPr>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55"/>
        </w:trPr>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(276,362)</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(244,539)</w:t>
            </w:r>
          </w:p>
        </w:tc>
      </w:tr>
      <w:tr>
        <w:trPr>
          <w:trHeight w:val="236"/>
        </w:trPr>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(278,321)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(246,498)</w:t>
            </w:r>
          </w:p>
        </w:tc>
      </w:tr>
      <w:tr>
        <w:trPr>
          <w:trHeight w:val="473"/>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1,427,507</w:t>
            </w:r>
          </w:p>
        </w:tc>
        <w:tc>
          <w:tcPr>
            <w:tcW w:w="6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1,365,168</w:t>
            </w:r>
          </w:p>
        </w:tc>
      </w:tr>
      <w:tr>
        <w:trPr>
          <w:trHeight w:val="97"/>
        </w:trPr>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bl>
    <w:p>
      <w:pPr>
        <w:spacing w:after="0" w:line="166" w:lineRule="exact"/>
        <w:rPr>
          <w:sz w:val="20"/>
          <w:szCs w:val="20"/>
          <w:color w:val="auto"/>
        </w:rPr>
      </w:pPr>
    </w:p>
    <w:p>
      <w:pPr>
        <w:sectPr>
          <w:pgSz w:w="11900" w:h="16838" w:orient="portrait"/>
          <w:cols w:equalWidth="0" w:num="2">
            <w:col w:w="5760" w:space="20"/>
            <w:col w:w="3279"/>
          </w:cols>
          <w:pgMar w:left="1400" w:top="66" w:right="1440" w:bottom="1440" w:gutter="0" w:footer="0" w:header="0"/>
        </w:sectPr>
      </w:pPr>
    </w:p>
    <w:p>
      <w:pPr>
        <w:ind w:right="139" w:firstLine="8"/>
        <w:spacing w:after="0" w:line="228" w:lineRule="auto"/>
        <w:tabs>
          <w:tab w:leader="none" w:pos="145"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Shares for periods presented have been retroactively adjusted to reflect the 0.7194-for-1 reverse stock split effected on May 14, 2026 in connection with the Company’s initial public offering (“IPO”). See Note 2 – Significant Accounting Policies and Note 17 – Subsequent Events in the notes to condensed consolidated financial statements for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71717"/>
        </w:rPr>
        <w:t>CONTACTS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71717"/>
        </w:rPr>
        <w:t>Investor Relations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investor.relations@fervoenergy.com</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ICR, Inc.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fervo@icrinc.com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V2 Communications for Fervo Energy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fervo@v2comms.com</w:t>
      </w:r>
    </w:p>
    <w:p>
      <w:pPr>
        <w:sectPr>
          <w:pgSz w:w="11900" w:h="16838" w:orient="portrait"/>
          <w:cols w:equalWidth="0" w:num="1">
            <w:col w:w="9059"/>
          </w:cols>
          <w:pgMar w:left="1400" w:top="66" w:right="1440" w:bottom="1440" w:gutter="0" w:footer="0" w:header="0"/>
          <w:type w:val="continuous"/>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42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420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482"/>
    </w:lvl>
    <w:lvl w:ilvl="1">
      <w:lvlJc w:val="left"/>
      <w:lvlText w:val="(%2)"/>
      <w:numFmt w:val="decimal"/>
      <w:start w:val="72"/>
    </w:lvl>
  </w:abstractNum>
  <w:abstractNum w:abstractNumId="5">
    <w:nsid w:val="2EB141F2"/>
    <w:multiLevelType w:val="hybridMultilevel"/>
    <w:lvl w:ilvl="0">
      <w:lvlJc w:val="left"/>
      <w:lvlText w:val="%1"/>
      <w:numFmt w:val="decimal"/>
      <w:start w:val="93"/>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2026-06-22T06:07:14Z</dcterms:created>
  <dcterms:modified xsi:type="dcterms:W3CDTF">2026-06-22T06:07:14Z</dcterms:modified>
</cp:coreProperties>
</file>