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Fervo Energy Company</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TIF Partners,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12,055,467.00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12,055,467.00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12,055,467.00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Technology Impact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12,055,467.00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12,055,467.00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12,055,467.00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TIGF Partners II,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22,171,923.00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22,171,923.00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22,171,923.00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Technology Impact Growth Fund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14,962,430.00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14,962,430.00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14,962,430.00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TIGF II Direct Strategies LLC - Series 5</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5,448,761.00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5,448,761.00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5,448,761.00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TIGF II Direct Strategies LLC - Series 7</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1,760,732.00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1,760,732.00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1,760,732.00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Dipender Saluja</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34,227,390.00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34,227,390.00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34,227,390.00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Ion Yadigaroglu</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34,227,390.00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34,227,390.00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34,227,390.00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54"/>
        <w:gridCol w:w="8896"/>
        <w:gridCol w:w="155"/>
      </w:tblGrid>
      <w:tr>
        <w:trPr/>
        <w:tc>
          <w:tcPr>
            <w:tcW w:w="1154" w:type="dxa"/>
            <w:tcBorders/>
            <w:vAlign w:val="center"/>
          </w:tcPr>
          <w:p>
            <w:pPr>
              <w:pStyle w:val="TableContents"/>
              <w:bidi w:val="0"/>
              <w:spacing w:before="0" w:after="283"/>
              <w:jc w:val="left"/>
              <w:rPr/>
            </w:pPr>
            <w:r>
              <w:rPr/>
              <w:t>Item 1.</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issuer: </w:t>
            </w:r>
          </w:p>
          <w:p>
            <w:pPr>
              <w:pStyle w:val="TableContents"/>
              <w:bidi w:val="0"/>
              <w:spacing w:before="0" w:after="0"/>
              <w:jc w:val="left"/>
              <w:rPr/>
            </w:pPr>
            <w:r>
              <w:rPr/>
              <w:t>Fervo Energy Company</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811 Main Street, Suite 1700, Houston, TX, 77002.</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2.</w:t>
            </w:r>
          </w:p>
        </w:tc>
        <w:tc>
          <w:tcPr>
            <w:tcW w:w="889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TIF Partners, LLC ("TIF Partners I") Technology Impact Fund, LP ("TIF I") TIGF Partners II, LLC ("TIGF Partners II") Technology Impact Growth Fund II, LP ("TIGF II") TIGF II Direct Strategies LLC - Series 5 ("TIGF II DS 5") TIGF II Direct Strategies LLC - Series 7 ("TIGF II DS 7") Ion Yadigaroglu ("Yadigaroglu") Dipender Saluja ("Saluja")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512 West 22nd Street, 6th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All of the entities were organized in Delaware. Saluja and Yadigaroglu are both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3.</w:t>
            </w:r>
          </w:p>
        </w:tc>
        <w:tc>
          <w:tcPr>
            <w:tcW w:w="889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(d)</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(e)</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(f)</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(g)</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(h)</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(j)</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(k)</w:t>
            </w:r>
          </w:p>
        </w:tc>
        <w:tc>
          <w:tcPr>
            <w:tcW w:w="8896"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9051" w:type="dxa"/>
            <w:gridSpan w:val="2"/>
            <w:tcBorders/>
            <w:vAlign w:val="center"/>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4.</w:t>
            </w:r>
          </w:p>
        </w:tc>
        <w:tc>
          <w:tcPr>
            <w:tcW w:w="889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(a)</w:t>
            </w:r>
          </w:p>
        </w:tc>
        <w:tc>
          <w:tcPr>
            <w:tcW w:w="889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Class A common stock of the Issuer beneficially owned by such Reporting Person as of June 30, 2026 and is incorporated by reference. The Reporting Persons' ownership of the Issuer's securities consists of (i) 12,055,467 shares of Class A common stock directly held by TIF I; (ii) 14,962,430 shares of Class A common stock directly held by TIGF II; (iii) 5,448,761 shares of Class A common stock held directly by TIGF II DS 5; and (iv) 1,760,732 shares of Class A common stock directly held by TIGF II DS 7. TIF Partners I is the general partner of TIF I and may be deemed to share voting and dispositive power over the shares held by TIF I. Saluja and Yadigaroglu are managers of TIF Partners I and may be deemed to share voting and dispositive power over the shares held by TIF I. TIGF Partners II is the general partner of TIGF II and the manager of each of TIGF II DS 5 and TIGF II DS 7. TIGF Partners II, LLC may be deemed to share voting and dispositive power over the shares held by each of TIGF II, TIGF II DS 5 and TIGF II DS 7. Saluja and Yadigaroglu are managers of TIGF Partners II and may be deemed to share voting and dispositive power over the shares held by each of TIGF II, TIGF II DS 5 and TIGF II DS 7.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(b)</w:t>
            </w:r>
          </w:p>
        </w:tc>
        <w:tc>
          <w:tcPr>
            <w:tcW w:w="889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Class A common stock of the Issuer beneficially owned by such Reporting Person as of June 30, 2026 and is incorporated by reference. The percentage set forth in each row 11 is based upon 286,869,000 shares of Class A common stock outstanding as of June 30, 2026, as reported in the Issuer's Quarterly Report on Form 10-Q filed with the Securities and Exchange Commission (the "SEC") on August 13, 2026.  %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(c)</w:t>
            </w:r>
          </w:p>
        </w:tc>
        <w:tc>
          <w:tcPr>
            <w:tcW w:w="889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5.</w:t>
            </w:r>
          </w:p>
        </w:tc>
        <w:tc>
          <w:tcPr>
            <w:tcW w:w="889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6.</w:t>
            </w:r>
          </w:p>
        </w:tc>
        <w:tc>
          <w:tcPr>
            <w:tcW w:w="889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7.</w:t>
            </w:r>
          </w:p>
        </w:tc>
        <w:tc>
          <w:tcPr>
            <w:tcW w:w="889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8.</w:t>
            </w:r>
          </w:p>
        </w:tc>
        <w:tc>
          <w:tcPr>
            <w:tcW w:w="889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Item 9.</w:t>
            </w:r>
          </w:p>
        </w:tc>
        <w:tc>
          <w:tcPr>
            <w:tcW w:w="889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4" w:type="dxa"/>
            <w:tcBorders/>
            <w:vAlign w:val="center"/>
          </w:tcPr>
          <w:p>
            <w:pPr>
              <w:pStyle w:val="TableContents"/>
              <w:bidi w:val="0"/>
              <w:spacing w:before="0" w:after="283"/>
              <w:jc w:val="left"/>
              <w:rPr/>
            </w:pPr>
            <w:r>
              <w:rPr/>
              <w:t> </w:t>
            </w:r>
          </w:p>
        </w:tc>
        <w:tc>
          <w:tcPr>
            <w:tcW w:w="889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32" w:type="dxa"/>
        <w:jc w:val="left"/>
        <w:tblInd w:w="0" w:type="dxa"/>
        <w:tblLayout w:type="fixed"/>
        <w:tblCellMar>
          <w:top w:w="28" w:type="dxa"/>
          <w:left w:w="28" w:type="dxa"/>
          <w:bottom w:w="28" w:type="dxa"/>
          <w:right w:w="28" w:type="dxa"/>
        </w:tblCellMar>
      </w:tblPr>
      <w:tblGrid>
        <w:gridCol w:w="2066"/>
        <w:gridCol w:w="2066"/>
      </w:tblGrid>
      <w:tr>
        <w:trPr/>
        <w:tc>
          <w:tcPr>
            <w:tcW w:w="2066" w:type="dxa"/>
            <w:tcBorders/>
            <w:vAlign w:val="center"/>
          </w:tcPr>
          <w:p>
            <w:pPr>
              <w:pStyle w:val="TableContents"/>
              <w:bidi w:val="0"/>
              <w:spacing w:before="0" w:after="0"/>
              <w:jc w:val="left"/>
              <w:rPr/>
            </w:pPr>
            <w:r>
              <w:rPr/>
              <w:t> </w:t>
            </w:r>
          </w:p>
          <w:tbl>
            <w:tblPr>
              <w:tblW w:w="1936" w:type="dxa"/>
              <w:jc w:val="left"/>
              <w:tblInd w:w="0" w:type="dxa"/>
              <w:tblLayout w:type="fixed"/>
              <w:tblCellMar>
                <w:top w:w="28" w:type="dxa"/>
                <w:left w:w="28" w:type="dxa"/>
                <w:bottom w:w="28" w:type="dxa"/>
                <w:right w:w="28" w:type="dxa"/>
              </w:tblCellMar>
            </w:tblPr>
            <w:tblGrid>
              <w:gridCol w:w="1936"/>
            </w:tblGrid>
            <w:tr>
              <w:trPr/>
              <w:tc>
                <w:tcPr>
                  <w:tcW w:w="1936" w:type="dxa"/>
                  <w:tcBorders/>
                  <w:vAlign w:val="center"/>
                </w:tcPr>
                <w:p>
                  <w:pPr>
                    <w:pStyle w:val="TableContents"/>
                    <w:bidi w:val="0"/>
                    <w:spacing w:before="0" w:after="0"/>
                    <w:jc w:val="left"/>
                    <w:rPr/>
                  </w:pPr>
                  <w:r>
                    <w:rPr/>
                    <w:t>TIF Partners, LLC</w:t>
                  </w:r>
                </w:p>
              </w:tc>
            </w:tr>
          </w:tbl>
          <w:p>
            <w:pPr>
              <w:pStyle w:val="TableContents"/>
              <w:bidi w:val="0"/>
              <w:spacing w:before="0" w:after="283"/>
              <w:jc w:val="left"/>
              <w:rPr/>
            </w:pPr>
            <w:r>
              <w:rPr/>
            </w:r>
          </w:p>
        </w:tc>
        <w:tc>
          <w:tcPr>
            <w:tcW w:w="20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Dipender Saluja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 xml:space="preserve">By Dipender Saluja, Manager </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6202" w:type="dxa"/>
        <w:jc w:val="left"/>
        <w:tblInd w:w="0" w:type="dxa"/>
        <w:tblLayout w:type="fixed"/>
        <w:tblCellMar>
          <w:top w:w="28" w:type="dxa"/>
          <w:left w:w="28" w:type="dxa"/>
          <w:bottom w:w="28" w:type="dxa"/>
          <w:right w:w="28" w:type="dxa"/>
        </w:tblCellMar>
      </w:tblPr>
      <w:tblGrid>
        <w:gridCol w:w="3101"/>
        <w:gridCol w:w="3101"/>
      </w:tblGrid>
      <w:tr>
        <w:trPr/>
        <w:tc>
          <w:tcPr>
            <w:tcW w:w="3101" w:type="dxa"/>
            <w:tcBorders/>
            <w:vAlign w:val="center"/>
          </w:tcPr>
          <w:p>
            <w:pPr>
              <w:pStyle w:val="TableContents"/>
              <w:bidi w:val="0"/>
              <w:spacing w:before="0" w:after="0"/>
              <w:jc w:val="left"/>
              <w:rPr/>
            </w:pPr>
            <w:r>
              <w:rPr/>
              <w:t> </w:t>
            </w:r>
          </w:p>
          <w:tbl>
            <w:tblPr>
              <w:tblW w:w="2971" w:type="dxa"/>
              <w:jc w:val="left"/>
              <w:tblInd w:w="0" w:type="dxa"/>
              <w:tblLayout w:type="fixed"/>
              <w:tblCellMar>
                <w:top w:w="28" w:type="dxa"/>
                <w:left w:w="28" w:type="dxa"/>
                <w:bottom w:w="28" w:type="dxa"/>
                <w:right w:w="28" w:type="dxa"/>
              </w:tblCellMar>
            </w:tblPr>
            <w:tblGrid>
              <w:gridCol w:w="2971"/>
            </w:tblGrid>
            <w:tr>
              <w:trPr/>
              <w:tc>
                <w:tcPr>
                  <w:tcW w:w="2971" w:type="dxa"/>
                  <w:tcBorders/>
                  <w:vAlign w:val="center"/>
                </w:tcPr>
                <w:p>
                  <w:pPr>
                    <w:pStyle w:val="TableContents"/>
                    <w:bidi w:val="0"/>
                    <w:spacing w:before="0" w:after="0"/>
                    <w:jc w:val="left"/>
                    <w:rPr/>
                  </w:pPr>
                  <w:r>
                    <w:rPr/>
                    <w:t>Technology Impact Fund, LP</w:t>
                  </w:r>
                </w:p>
              </w:tc>
            </w:tr>
          </w:tbl>
          <w:p>
            <w:pPr>
              <w:pStyle w:val="TableContents"/>
              <w:bidi w:val="0"/>
              <w:spacing w:before="0" w:after="283"/>
              <w:jc w:val="left"/>
              <w:rPr/>
            </w:pPr>
            <w:r>
              <w:rPr/>
            </w:r>
          </w:p>
        </w:tc>
        <w:tc>
          <w:tcPr>
            <w:tcW w:w="3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Dipender Saluja</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 xml:space="preserve">By TIF Partners, LLC, its General Partner, By Dipender Saluja, Manager </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TIGF Partners II, LLC</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Dipender Saluja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 xml:space="preserve">By Dipender Saluja, Manager </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8296" w:type="dxa"/>
        <w:jc w:val="left"/>
        <w:tblInd w:w="0" w:type="dxa"/>
        <w:tblLayout w:type="fixed"/>
        <w:tblCellMar>
          <w:top w:w="28" w:type="dxa"/>
          <w:left w:w="28" w:type="dxa"/>
          <w:bottom w:w="28" w:type="dxa"/>
          <w:right w:w="28" w:type="dxa"/>
        </w:tblCellMar>
      </w:tblPr>
      <w:tblGrid>
        <w:gridCol w:w="4148"/>
        <w:gridCol w:w="4148"/>
      </w:tblGrid>
      <w:tr>
        <w:trPr/>
        <w:tc>
          <w:tcPr>
            <w:tcW w:w="4148" w:type="dxa"/>
            <w:tcBorders/>
            <w:vAlign w:val="center"/>
          </w:tcPr>
          <w:p>
            <w:pPr>
              <w:pStyle w:val="TableContents"/>
              <w:bidi w:val="0"/>
              <w:spacing w:before="0" w:after="0"/>
              <w:jc w:val="left"/>
              <w:rPr/>
            </w:pPr>
            <w:r>
              <w:rPr/>
              <w:t> </w:t>
            </w:r>
          </w:p>
          <w:tbl>
            <w:tblPr>
              <w:tblW w:w="3976" w:type="dxa"/>
              <w:jc w:val="left"/>
              <w:tblInd w:w="0" w:type="dxa"/>
              <w:tblLayout w:type="fixed"/>
              <w:tblCellMar>
                <w:top w:w="28" w:type="dxa"/>
                <w:left w:w="28" w:type="dxa"/>
                <w:bottom w:w="28" w:type="dxa"/>
                <w:right w:w="28" w:type="dxa"/>
              </w:tblCellMar>
            </w:tblPr>
            <w:tblGrid>
              <w:gridCol w:w="3976"/>
            </w:tblGrid>
            <w:tr>
              <w:trPr/>
              <w:tc>
                <w:tcPr>
                  <w:tcW w:w="3976" w:type="dxa"/>
                  <w:tcBorders/>
                  <w:vAlign w:val="center"/>
                </w:tcPr>
                <w:p>
                  <w:pPr>
                    <w:pStyle w:val="TableContents"/>
                    <w:bidi w:val="0"/>
                    <w:spacing w:before="0" w:after="0"/>
                    <w:jc w:val="left"/>
                    <w:rPr/>
                  </w:pPr>
                  <w:r>
                    <w:rPr/>
                    <w:t>Technology Impact Growth Fund II, LP</w:t>
                  </w:r>
                </w:p>
              </w:tc>
            </w:tr>
          </w:tbl>
          <w:p>
            <w:pPr>
              <w:pStyle w:val="TableContents"/>
              <w:bidi w:val="0"/>
              <w:spacing w:before="0" w:after="283"/>
              <w:jc w:val="left"/>
              <w:rPr/>
            </w:pPr>
            <w:r>
              <w:rPr/>
            </w:r>
          </w:p>
        </w:tc>
        <w:tc>
          <w:tcPr>
            <w:tcW w:w="41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Dipender Saluja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 xml:space="preserve">By TIGF Partners II, LLC, its General Partner, By Dipender Saluja, Manager </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TIGF II Direct Strategies LLC - Series 5</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Dipender Saluja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 xml:space="preserve">By TIGF Partners II, LLC, its Manager, By Dipender Saluja, Manager </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TIGF II Direct Strategies LLC - Series 7</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Dipender Saluja</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 xml:space="preserve">By TIGF Partners II, LLC, its Manager, By Dipender Saluja, Manager </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Dipender Saluja</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Dipender Saluja</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Dipender Saluja</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Ion Yadigaroglu</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4"/>
        <w:gridCol w:w="4241"/>
      </w:tblGrid>
      <w:tr>
        <w:trPr/>
        <w:tc>
          <w:tcPr>
            <w:tcW w:w="59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Ion Yadigaroglu</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Ion Yadigaroglu</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41" w:type="dxa"/>
            <w:tcBorders/>
            <w:vAlign w:val="center"/>
          </w:tcPr>
          <w:p>
            <w:pPr>
              <w:pStyle w:val="TableContents"/>
              <w:bidi w:val="0"/>
              <w:spacing w:before="0" w:after="283"/>
              <w:jc w:val="left"/>
              <w:rPr>
                <w:sz w:val="4"/>
                <w:szCs w:val="4"/>
              </w:rPr>
            </w:pPr>
            <w:r>
              <w:rPr>
                <w:sz w:val="4"/>
                <w:szCs w:val="4"/>
              </w:rPr>
            </w:r>
          </w:p>
        </w:tc>
      </w:tr>
    </w:tbl>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283"/>
              <w:jc w:val="center"/>
              <w:rPr>
                <w:b/>
              </w:rPr>
            </w:pPr>
            <w:r>
              <w:rPr>
                <w:b/>
              </w:rPr>
              <w:t xml:space="preserve">Exhibit Information </w:t>
            </w:r>
          </w:p>
        </w:tc>
      </w:tr>
      <w:tr>
        <w:trPr/>
        <w:tc>
          <w:tcPr>
            <w:tcW w:w="3571" w:type="dxa"/>
            <w:tcBorders/>
            <w:vAlign w:val="center"/>
          </w:tcPr>
          <w:p>
            <w:pPr>
              <w:pStyle w:val="TableContents"/>
              <w:bidi w:val="0"/>
              <w:spacing w:before="0" w:after="283"/>
              <w:jc w:val="left"/>
              <w:rPr/>
            </w:pPr>
            <w:r>
              <w:rPr/>
              <w:t>Exhibit 99.1 Joint Filing Agreement</w:t>
            </w:r>
          </w:p>
        </w:tc>
      </w:tr>
    </w:tbl>
    <w:p>
      <w:pPr>
        <w:pStyle w:val="TextBody"/>
        <w:pBdr/>
        <w:bidi w:val="0"/>
        <w:spacing w:before="0" w:after="255"/>
        <w:jc w:val="center"/>
        <w:rPr>
          <w:sz w:val="22"/>
        </w:rPr>
      </w:pPr>
      <w:bookmarkStart w:id="44" w:name="ex-99-08142026_090837.htm"/>
      <w:bookmarkStart w:id="45" w:name="ksex9908142026_090837"/>
      <w:bookmarkEnd w:id="44"/>
      <w:bookmarkEnd w:id="45"/>
      <w:r>
        <w:rPr>
          <w:sz w:val="22"/>
        </w:rPr>
        <w:t>EXHIBIT 99.1</w:t>
      </w:r>
      <w:r>
        <w:br w:type="page"/>
      </w:r>
    </w:p>
    <w:p>
      <w:pPr>
        <w:pStyle w:val="TextBody"/>
        <w:pBdr/>
        <w:bidi w:val="0"/>
        <w:spacing w:before="0" w:after="255"/>
        <w:jc w:val="center"/>
        <w:rPr>
          <w:sz w:val="22"/>
        </w:rPr>
      </w:pPr>
      <w:r>
        <w:rPr>
          <w:sz w:val="22"/>
        </w:rPr>
        <w:t>JOINT FILING AGREEMENT</w:t>
      </w:r>
    </w:p>
    <w:p>
      <w:pPr>
        <w:pStyle w:val="TextBody"/>
        <w:bidi w:val="0"/>
        <w:spacing w:before="0" w:after="0"/>
        <w:ind w:left="0" w:right="0" w:hanging="0"/>
        <w:jc w:val="left"/>
        <w:rPr>
          <w:sz w:val="22"/>
        </w:rPr>
      </w:pPr>
      <w:r>
        <w:rPr>
          <w:sz w:val="22"/>
        </w:rPr>
        <w:t>We, the undersigned, hereby express our agreement that the Schedule 13G (or any amendments thereto) relating to the Class A Common Stock, par value $0.0001 per share of Fervo Energy Company is filed on behalf of each of us.</w:t>
      </w:r>
    </w:p>
    <w:p>
      <w:pPr>
        <w:pStyle w:val="TextBody"/>
        <w:bidi w:val="0"/>
        <w:spacing w:before="0" w:after="0"/>
        <w:ind w:left="0" w:right="0" w:hanging="0"/>
        <w:jc w:val="left"/>
        <w:rPr/>
      </w:pPr>
      <w:r>
        <w:rPr/>
      </w:r>
    </w:p>
    <w:p>
      <w:pPr>
        <w:pStyle w:val="TextBody"/>
        <w:bidi w:val="0"/>
        <w:spacing w:before="0" w:after="255"/>
        <w:jc w:val="left"/>
        <w:rPr>
          <w:sz w:val="22"/>
        </w:rPr>
      </w:pPr>
      <w:r>
        <w:rPr>
          <w:sz w:val="22"/>
        </w:rPr>
        <w:t>Dated:  August 14, 2026</w:t>
      </w:r>
    </w:p>
    <w:tbl>
      <w:tblPr>
        <w:tblW w:w="10080" w:type="dxa"/>
        <w:jc w:val="center"/>
        <w:tblInd w:w="0" w:type="dxa"/>
        <w:tblLayout w:type="fixed"/>
        <w:tblCellMar>
          <w:top w:w="0" w:type="dxa"/>
          <w:left w:w="0" w:type="dxa"/>
          <w:bottom w:w="0" w:type="dxa"/>
          <w:right w:w="0" w:type="dxa"/>
        </w:tblCellMar>
      </w:tblPr>
      <w:tblGrid>
        <w:gridCol w:w="5040"/>
        <w:gridCol w:w="5040"/>
      </w:tblGrid>
      <w:tr>
        <w:trPr/>
        <w:tc>
          <w:tcPr>
            <w:tcW w:w="5040" w:type="dxa"/>
            <w:tcBorders/>
            <w:vAlign w:val="center"/>
          </w:tcPr>
          <w:p>
            <w:pPr>
              <w:pStyle w:val="TableContents"/>
              <w:bidi w:val="0"/>
              <w:spacing w:before="0" w:after="283"/>
              <w:jc w:val="left"/>
              <w:rPr>
                <w:sz w:val="4"/>
                <w:szCs w:val="4"/>
              </w:rPr>
            </w:pPr>
            <w:r>
              <w:rPr>
                <w:sz w:val="4"/>
                <w:szCs w:val="4"/>
              </w:rPr>
            </w:r>
          </w:p>
        </w:tc>
        <w:tc>
          <w:tcPr>
            <w:tcW w:w="5040" w:type="dxa"/>
            <w:tcBorders/>
            <w:vAlign w:val="center"/>
          </w:tcPr>
          <w:p>
            <w:pPr>
              <w:pStyle w:val="TableContents"/>
              <w:bidi w:val="0"/>
              <w:spacing w:before="0" w:after="283"/>
              <w:jc w:val="left"/>
              <w:rPr>
                <w:sz w:val="4"/>
                <w:szCs w:val="4"/>
              </w:rPr>
            </w:pPr>
            <w:r>
              <w:rPr>
                <w:sz w:val="4"/>
                <w:szCs w:val="4"/>
              </w:rPr>
            </w:r>
          </w:p>
        </w:tc>
      </w:tr>
      <w:tr>
        <w:trPr/>
        <w:tc>
          <w:tcPr>
            <w:tcW w:w="5040" w:type="dxa"/>
            <w:tcBorders/>
          </w:tcPr>
          <w:p>
            <w:pPr>
              <w:pStyle w:val="TableContents"/>
              <w:bidi w:val="0"/>
              <w:spacing w:before="0" w:after="0"/>
              <w:ind w:left="0" w:right="0" w:hanging="0"/>
              <w:jc w:val="left"/>
              <w:rPr>
                <w:b/>
              </w:rPr>
            </w:pPr>
            <w:r>
              <w:rPr>
                <w:b/>
              </w:rPr>
              <w:t>Technology Impact Growth Fund II,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TIGF Partners II, LLC</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85750" cy="175260"/>
                      <wp:effectExtent l="0" t="0" r="0" b="0"/>
                      <wp:wrapSquare wrapText="right"/>
                      <wp:docPr id="39" name="Frame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85750" cy="175260"/>
                      <wp:effectExtent l="0" t="0" r="0" b="0"/>
                      <wp:wrapSquare wrapText="right"/>
                      <wp:docPr id="40" name="Frame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85750" cy="175260"/>
                      <wp:effectExtent l="0" t="0" r="0" b="0"/>
                      <wp:wrapSquare wrapText="right"/>
                      <wp:docPr id="41" name="Frame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TIGF II Direct Strategies LLC - Series 5</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TIGF Partners II, LLC</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85750" cy="175260"/>
                      <wp:effectExtent l="0" t="0" r="0" b="0"/>
                      <wp:wrapSquare wrapText="right"/>
                      <wp:docPr id="42" name="Frame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Manager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85750" cy="175260"/>
                      <wp:effectExtent l="0" t="0" r="0" b="0"/>
                      <wp:wrapSquare wrapText="right"/>
                      <wp:docPr id="43" name="Frame5"/>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85750" cy="175260"/>
                      <wp:effectExtent l="0" t="0" r="0" b="0"/>
                      <wp:wrapSquare wrapText="right"/>
                      <wp:docPr id="44" name="Frame6"/>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TIGF II Direct Strategies LLC - Series 7</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TIGF Partners II, LLC</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85750" cy="175260"/>
                      <wp:effectExtent l="0" t="0" r="0" b="0"/>
                      <wp:wrapSquare wrapText="right"/>
                      <wp:docPr id="45" name="Frame7"/>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Manager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85750" cy="175260"/>
                      <wp:effectExtent l="0" t="0" r="0" b="0"/>
                      <wp:wrapSquare wrapText="right"/>
                      <wp:docPr id="46" name="Frame8"/>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85750" cy="175260"/>
                      <wp:effectExtent l="0" t="0" r="0" b="0"/>
                      <wp:wrapSquare wrapText="right"/>
                      <wp:docPr id="47" name="Frame9"/>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TIGF Partners II,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85750" cy="175260"/>
                      <wp:effectExtent l="0" t="0" r="0" b="0"/>
                      <wp:wrapSquare wrapText="right"/>
                      <wp:docPr id="48" name="Frame10"/>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240"/>
              <w:jc w:val="left"/>
              <w:rPr/>
            </w:pPr>
            <w:r>
              <w:rPr/>
            </w:r>
          </w:p>
        </w:tc>
        <w:tc>
          <w:tcPr>
            <w:tcW w:w="5040" w:type="dxa"/>
            <w:tcBorders/>
          </w:tcPr>
          <w:p>
            <w:pPr>
              <w:pStyle w:val="TableContents"/>
              <w:bidi w:val="0"/>
              <w:spacing w:before="0" w:after="0"/>
              <w:ind w:left="0" w:right="0" w:hanging="0"/>
              <w:jc w:val="left"/>
              <w:rPr>
                <w:b/>
              </w:rPr>
            </w:pPr>
            <w:r>
              <w:rPr>
                <w:b/>
              </w:rPr>
              <w:t>Technology Impact Fund, LP</w:t>
            </w:r>
          </w:p>
          <w:p>
            <w:pPr>
              <w:pStyle w:val="TableContents"/>
              <w:bidi w:val="0"/>
              <w:spacing w:before="0" w:after="0"/>
              <w:ind w:left="0" w:right="0" w:hanging="0"/>
              <w:jc w:val="left"/>
              <w:rPr/>
            </w:pPr>
            <w:r>
              <w:rPr/>
            </w:r>
          </w:p>
          <w:p>
            <w:pPr>
              <w:pStyle w:val="TableContents"/>
              <w:bidi w:val="0"/>
              <w:spacing w:before="0" w:after="0"/>
              <w:ind w:left="0" w:right="0" w:hanging="30"/>
              <w:jc w:val="left"/>
              <w:rPr/>
            </w:pPr>
            <w:r>
              <w:rPr/>
              <w:t>TIF Partners, LLC</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85750" cy="175260"/>
                      <wp:effectExtent l="0" t="0" r="0" b="0"/>
                      <wp:wrapSquare wrapText="right"/>
                      <wp:docPr id="49" name="Frame11"/>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By: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By: </w:t>
                            </w:r>
                          </w:p>
                        </w:txbxContent>
                      </v:textbox>
                      <w10:wrap type="square" side="right"/>
                    </v:rect>
                  </w:pict>
                </mc:Fallback>
              </mc:AlternateContent>
            </w:r>
          </w:p>
          <w:p>
            <w:pPr>
              <w:pStyle w:val="TableContents"/>
              <w:bidi w:val="0"/>
              <w:spacing w:before="0" w:after="0"/>
              <w:ind w:left="0" w:right="0" w:hanging="30"/>
              <w:jc w:val="left"/>
              <w:rPr/>
            </w:pPr>
            <w:r>
              <w:rPr/>
              <w:t xml:space="preserve">General Partner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85750" cy="175260"/>
                      <wp:effectExtent l="0" t="0" r="0" b="0"/>
                      <wp:wrapSquare wrapText="right"/>
                      <wp:docPr id="50" name="Frame12"/>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 xml:space="preserve">Its: </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 xml:space="preserve">Its: </w:t>
                            </w:r>
                          </w:p>
                        </w:txbxContent>
                      </v:textbox>
                      <w10:wrap type="square" side="right"/>
                    </v:rect>
                  </w:pict>
                </mc:Fallback>
              </mc:AlternateConten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85750" cy="175260"/>
                      <wp:effectExtent l="0" t="0" r="0" b="0"/>
                      <wp:wrapSquare wrapText="right"/>
                      <wp:docPr id="51" name="Frame13"/>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TIF Partners, LLC</w:t>
            </w:r>
          </w:p>
          <w:p>
            <w:pPr>
              <w:pStyle w:val="TableContents"/>
              <w:bidi w:val="0"/>
              <w:spacing w:before="0" w:after="0"/>
              <w:ind w:left="0" w:right="0" w:hanging="0"/>
              <w:jc w:val="left"/>
              <w:rPr/>
            </w:pPr>
            <w:r>
              <w:rPr/>
            </w:r>
          </w:p>
          <w:p>
            <w:pPr>
              <w:pStyle w:val="TableContents"/>
              <w:bidi w:val="0"/>
              <w:spacing w:before="0" w:after="0"/>
              <w:ind w:left="0" w:right="0" w:hanging="30"/>
              <w:jc w:val="left"/>
              <w:rPr>
                <w:u w:val="single"/>
              </w:rPr>
            </w:pPr>
            <w:r>
              <w:rPr>
                <w:u w:val="single"/>
              </w:rPr>
              <w:t>/s/ Dipender Saluja</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85750" cy="175260"/>
                      <wp:effectExtent l="0" t="0" r="0" b="0"/>
                      <wp:wrapSquare wrapText="right"/>
                      <wp:docPr id="52" name="Frame14"/>
                      <a:graphic xmlns:a="http://schemas.openxmlformats.org/drawingml/2006/main">
                        <a:graphicData uri="http://schemas.microsoft.com/office/word/2010/wordprocessingShape">
                          <wps:wsp>
                            <wps:cNvSpPr txBox="1"/>
                            <wps:spPr>
                              <a:xfrm>
                                <a:off x="0" y="0"/>
                                <a:ext cx="285750" cy="175260"/>
                              </a:xfrm>
                              <a:prstGeom prst="rect"/>
                              <a:solidFill>
                                <a:srgbClr val="FFFFFF"/>
                              </a:solidFill>
                            </wps:spPr>
                            <wps:txbx>
                              <w:txbxContent>
                                <w:p>
                                  <w:pPr>
                                    <w:pStyle w:val="TableContents"/>
                                    <w:bidi w:val="0"/>
                                    <w:spacing w:before="0" w:after="283"/>
                                    <w:jc w:val="left"/>
                                    <w:rPr/>
                                  </w:pPr>
                                  <w:r>
                                    <w:rPr/>
                                    <w:t>By:</w:t>
                                  </w:r>
                                </w:p>
                              </w:txbxContent>
                            </wps:txbx>
                            <wps:bodyPr anchor="t" lIns="0" tIns="0" rIns="0" bIns="0">
                              <a:noAutofit/>
                            </wps:bodyPr>
                          </wps:wsp>
                        </a:graphicData>
                      </a:graphic>
                    </wp:anchor>
                  </w:drawing>
                </mc:Choice>
                <mc:Fallback>
                  <w:pict>
                    <v:rect style="position:absolute;rotation:-0;width: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283"/>
                              <w:jc w:val="left"/>
                              <w:rPr/>
                            </w:pPr>
                            <w:r>
                              <w:rPr/>
                              <w:t>By:</w:t>
                            </w:r>
                          </w:p>
                        </w:txbxContent>
                      </v:textbox>
                      <w10:wrap type="square" side="right"/>
                    </v:rect>
                  </w:pict>
                </mc:Fallback>
              </mc:AlternateContent>
            </w:r>
          </w:p>
          <w:p>
            <w:pPr>
              <w:pStyle w:val="TableContents"/>
              <w:bidi w:val="0"/>
              <w:spacing w:before="0" w:after="0"/>
              <w:ind w:left="0" w:right="0" w:firstLine="450"/>
              <w:jc w:val="left"/>
              <w:rPr/>
            </w:pPr>
            <w:r>
              <w:rPr/>
              <w:t>Name: Dipender Saluja</w:t>
            </w:r>
          </w:p>
          <w:p>
            <w:pPr>
              <w:pStyle w:val="TableContents"/>
              <w:bidi w:val="0"/>
              <w:spacing w:before="0" w:after="0"/>
              <w:ind w:left="0" w:right="0" w:firstLine="450"/>
              <w:jc w:val="left"/>
              <w:rPr/>
            </w:pPr>
            <w:r>
              <w:rPr/>
              <w:t>Title: Manager</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Dipender Saluja</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Dipender Saluja</w:t>
            </w:r>
          </w:p>
          <w:p>
            <w:pPr>
              <w:pStyle w:val="TableContents"/>
              <w:bidi w:val="0"/>
              <w:spacing w:before="0" w:after="0"/>
              <w:ind w:left="0" w:right="0" w:hanging="0"/>
              <w:jc w:val="left"/>
              <w:rPr/>
            </w:pPr>
            <w:r>
              <w:rPr/>
            </w:r>
          </w:p>
          <w:p>
            <w:pPr>
              <w:pStyle w:val="TableContents"/>
              <w:bidi w:val="0"/>
              <w:spacing w:before="0" w:after="0"/>
              <w:ind w:left="0" w:right="0" w:hanging="0"/>
              <w:jc w:val="left"/>
              <w:rPr/>
            </w:pPr>
            <w:r>
              <w:rPr/>
            </w:r>
          </w:p>
          <w:p>
            <w:pPr>
              <w:pStyle w:val="TableContents"/>
              <w:bidi w:val="0"/>
              <w:spacing w:before="0" w:after="0"/>
              <w:ind w:left="0" w:right="0" w:hanging="0"/>
              <w:jc w:val="left"/>
              <w:rPr>
                <w:b/>
              </w:rPr>
            </w:pPr>
            <w:r>
              <w:rPr>
                <w:b/>
              </w:rPr>
              <w:t>Ion Yadigaroglu</w:t>
            </w:r>
          </w:p>
          <w:p>
            <w:pPr>
              <w:pStyle w:val="TableContents"/>
              <w:bidi w:val="0"/>
              <w:spacing w:before="0" w:after="0"/>
              <w:ind w:left="0" w:right="0" w:hanging="0"/>
              <w:jc w:val="left"/>
              <w:rPr/>
            </w:pPr>
            <w:r>
              <w:rPr/>
            </w:r>
          </w:p>
          <w:p>
            <w:pPr>
              <w:pStyle w:val="TableContents"/>
              <w:bidi w:val="0"/>
              <w:spacing w:before="0" w:after="0"/>
              <w:ind w:left="0" w:right="0" w:hanging="0"/>
              <w:jc w:val="left"/>
              <w:rPr>
                <w:u w:val="single"/>
              </w:rPr>
            </w:pPr>
            <w:r>
              <w:rPr>
                <w:u w:val="single"/>
              </w:rPr>
              <w:t>/s/ Ion Yadigaroglu</w:t>
            </w:r>
          </w:p>
          <w:p>
            <w:pPr>
              <w:pStyle w:val="TableContents"/>
              <w:bidi w:val="0"/>
              <w:spacing w:before="0" w:after="0"/>
              <w:ind w:left="0" w:right="0" w:hanging="0"/>
              <w:jc w:val="left"/>
              <w:rPr/>
            </w:pPr>
            <w:r>
              <w:rPr/>
            </w:r>
          </w:p>
          <w:p>
            <w:pPr>
              <w:pStyle w:val="TableContents"/>
              <w:bidi w:val="0"/>
              <w:spacing w:before="0" w:after="240"/>
              <w:jc w:val="left"/>
              <w:rPr/>
            </w:pPr>
            <w:r>
              <w:rPr/>
            </w:r>
          </w:p>
        </w:tc>
      </w:tr>
    </w:tbl>
    <w:p>
      <w:pPr>
        <w:pStyle w:val="TextBody"/>
        <w:bidi w:val="0"/>
        <w:spacing w:before="0" w:after="24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2382</Words>
  <Characters>11994</Characters>
  <CharactersWithSpaces>14195</CharactersWithSpaces>
  <Paragraphs>538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